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08" w:rsidRPr="00A25833" w:rsidRDefault="00C04808" w:rsidP="00EE2E7D">
      <w:pPr>
        <w:spacing w:line="240" w:lineRule="auto"/>
        <w:ind w:left="0"/>
        <w:jc w:val="center"/>
        <w:rPr>
          <w:rFonts w:eastAsia="Calibri"/>
          <w:sz w:val="24"/>
          <w:szCs w:val="24"/>
        </w:rPr>
      </w:pPr>
      <w:r w:rsidRPr="00A25833">
        <w:rPr>
          <w:rFonts w:eastAsia="Calibri"/>
          <w:sz w:val="24"/>
          <w:szCs w:val="24"/>
          <w:lang w:val="en-US" w:eastAsia="zh-TW"/>
        </w:rPr>
        <w:drawing>
          <wp:inline distT="0" distB="0" distL="0" distR="0" wp14:anchorId="0F03EDDF" wp14:editId="24C94341">
            <wp:extent cx="671441" cy="971550"/>
            <wp:effectExtent l="0" t="0" r="0" b="0"/>
            <wp:docPr id="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Romania_svg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373" cy="980134"/>
                    </a:xfrm>
                    <a:prstGeom prst="rect">
                      <a:avLst/>
                    </a:prstGeom>
                    <a:noFill/>
                    <a:ln>
                      <a:noFill/>
                    </a:ln>
                  </pic:spPr>
                </pic:pic>
              </a:graphicData>
            </a:graphic>
          </wp:inline>
        </w:drawing>
      </w:r>
    </w:p>
    <w:p w:rsidR="00C04808" w:rsidRPr="00A25833" w:rsidRDefault="00C04808" w:rsidP="00EE2E7D">
      <w:pPr>
        <w:tabs>
          <w:tab w:val="left" w:pos="851"/>
        </w:tabs>
        <w:spacing w:line="240" w:lineRule="auto"/>
        <w:ind w:left="0"/>
        <w:jc w:val="center"/>
        <w:rPr>
          <w:rFonts w:eastAsia="Times New Roman"/>
          <w:b/>
          <w:sz w:val="24"/>
          <w:szCs w:val="24"/>
        </w:rPr>
      </w:pPr>
      <w:r w:rsidRPr="00A25833">
        <w:rPr>
          <w:rFonts w:eastAsia="Times New Roman"/>
          <w:b/>
          <w:sz w:val="24"/>
          <w:szCs w:val="24"/>
        </w:rPr>
        <w:t>GUVERNUL ROMÂNIEI</w:t>
      </w:r>
    </w:p>
    <w:p w:rsidR="00C04808" w:rsidRPr="00A25833" w:rsidRDefault="00C04808" w:rsidP="00EE2E7D">
      <w:pPr>
        <w:spacing w:line="240" w:lineRule="auto"/>
        <w:ind w:left="0"/>
        <w:jc w:val="center"/>
        <w:rPr>
          <w:rFonts w:eastAsia="Times New Roman"/>
          <w:sz w:val="24"/>
          <w:szCs w:val="24"/>
        </w:rPr>
      </w:pPr>
      <w:r w:rsidRPr="00A25833">
        <w:rPr>
          <w:rFonts w:eastAsia="Calibri"/>
          <w:b/>
          <w:sz w:val="24"/>
          <w:szCs w:val="24"/>
        </w:rPr>
        <w:t>ORDONANȚĂ DE URGENȚĂ</w:t>
      </w:r>
    </w:p>
    <w:p w:rsidR="00C04808" w:rsidRPr="00A25833" w:rsidRDefault="00A418FD" w:rsidP="00EE2E7D">
      <w:pPr>
        <w:spacing w:line="240" w:lineRule="auto"/>
        <w:ind w:left="0" w:firstLine="180"/>
        <w:jc w:val="center"/>
        <w:rPr>
          <w:rFonts w:eastAsiaTheme="minorHAnsi"/>
          <w:b/>
          <w:sz w:val="24"/>
          <w:szCs w:val="24"/>
        </w:rPr>
      </w:pPr>
      <w:r w:rsidRPr="00A25833">
        <w:rPr>
          <w:b/>
          <w:sz w:val="24"/>
          <w:szCs w:val="24"/>
        </w:rPr>
        <w:t>p</w:t>
      </w:r>
      <w:r w:rsidR="008F7C6A" w:rsidRPr="00A25833">
        <w:rPr>
          <w:b/>
          <w:sz w:val="24"/>
          <w:szCs w:val="24"/>
        </w:rPr>
        <w:t>entru</w:t>
      </w:r>
      <w:r w:rsidRPr="00A25833">
        <w:rPr>
          <w:b/>
          <w:sz w:val="24"/>
          <w:szCs w:val="24"/>
        </w:rPr>
        <w:t xml:space="preserve"> </w:t>
      </w:r>
      <w:r w:rsidR="008B15FC" w:rsidRPr="00A25833">
        <w:rPr>
          <w:b/>
          <w:sz w:val="24"/>
          <w:szCs w:val="24"/>
        </w:rPr>
        <w:t>modificarea și completarea unor acte normative</w:t>
      </w:r>
    </w:p>
    <w:p w:rsidR="00A418FD" w:rsidRPr="00A25833" w:rsidRDefault="00054B14" w:rsidP="00EE2E7D">
      <w:pPr>
        <w:autoSpaceDE w:val="0"/>
        <w:autoSpaceDN w:val="0"/>
        <w:adjustRightInd w:val="0"/>
        <w:spacing w:line="240" w:lineRule="auto"/>
        <w:ind w:left="0" w:right="-46"/>
        <w:rPr>
          <w:rFonts w:eastAsiaTheme="minorHAnsi"/>
          <w:sz w:val="24"/>
          <w:szCs w:val="24"/>
        </w:rPr>
      </w:pPr>
      <w:r w:rsidRPr="00A25833">
        <w:rPr>
          <w:sz w:val="30"/>
          <w:szCs w:val="30"/>
        </w:rPr>
        <w:t xml:space="preserve"> </w:t>
      </w:r>
      <w:r w:rsidR="002A55C5" w:rsidRPr="00A25833">
        <w:rPr>
          <w:rFonts w:eastAsiaTheme="minorHAnsi"/>
          <w:sz w:val="24"/>
          <w:szCs w:val="24"/>
        </w:rPr>
        <w:t xml:space="preserve">        </w:t>
      </w:r>
    </w:p>
    <w:p w:rsidR="0019248D" w:rsidRPr="00A25833" w:rsidRDefault="0019248D" w:rsidP="00EE2E7D">
      <w:pPr>
        <w:autoSpaceDE w:val="0"/>
        <w:autoSpaceDN w:val="0"/>
        <w:adjustRightInd w:val="0"/>
        <w:spacing w:line="240" w:lineRule="auto"/>
        <w:ind w:left="0" w:right="-46"/>
        <w:rPr>
          <w:rFonts w:eastAsiaTheme="minorHAnsi"/>
          <w:sz w:val="24"/>
          <w:szCs w:val="24"/>
        </w:rPr>
      </w:pPr>
    </w:p>
    <w:p w:rsidR="00C04808" w:rsidRPr="00A25833" w:rsidRDefault="00C04808" w:rsidP="00EE2E7D">
      <w:pPr>
        <w:autoSpaceDE w:val="0"/>
        <w:autoSpaceDN w:val="0"/>
        <w:adjustRightInd w:val="0"/>
        <w:spacing w:line="240" w:lineRule="auto"/>
        <w:ind w:left="0" w:right="-46" w:firstLine="851"/>
        <w:rPr>
          <w:rFonts w:eastAsiaTheme="minorHAnsi"/>
          <w:sz w:val="24"/>
          <w:szCs w:val="24"/>
        </w:rPr>
      </w:pPr>
      <w:r w:rsidRPr="00A25833">
        <w:rPr>
          <w:rFonts w:eastAsiaTheme="minorHAnsi"/>
          <w:sz w:val="24"/>
          <w:szCs w:val="24"/>
        </w:rPr>
        <w:t xml:space="preserve">Având în vedere </w:t>
      </w:r>
      <w:r w:rsidR="0096437E" w:rsidRPr="00A25833">
        <w:rPr>
          <w:rFonts w:eastAsiaTheme="minorHAnsi"/>
          <w:sz w:val="24"/>
          <w:szCs w:val="24"/>
        </w:rPr>
        <w:t>obligaţia Guvernului de a conduce politica fiscal-bugetară în mod prudent pentru a gestiona resursele şi obligaţiile bugetare, precum şi riscurile fiscale de o manieră care să asigure sus</w:t>
      </w:r>
      <w:bookmarkStart w:id="0" w:name="_GoBack"/>
      <w:bookmarkEnd w:id="0"/>
      <w:r w:rsidR="0096437E" w:rsidRPr="00A25833">
        <w:rPr>
          <w:rFonts w:eastAsiaTheme="minorHAnsi"/>
          <w:sz w:val="24"/>
          <w:szCs w:val="24"/>
        </w:rPr>
        <w:t>tenabilitatea poziţiei fiscale pe termen mediu şi lung, precum şi predictibilitatea politicii fiscal-bugetare pe termen mediu, în scopul menţinerii stabilităţii macroeconomice,</w:t>
      </w:r>
    </w:p>
    <w:p w:rsidR="00CD7AD4" w:rsidRPr="00A25833" w:rsidRDefault="00D07483" w:rsidP="00EE2E7D">
      <w:pPr>
        <w:autoSpaceDE w:val="0"/>
        <w:autoSpaceDN w:val="0"/>
        <w:adjustRightInd w:val="0"/>
        <w:spacing w:line="240" w:lineRule="auto"/>
        <w:ind w:left="0" w:right="-46" w:firstLine="851"/>
        <w:rPr>
          <w:rFonts w:eastAsiaTheme="minorHAnsi"/>
          <w:sz w:val="24"/>
          <w:szCs w:val="24"/>
        </w:rPr>
      </w:pPr>
      <w:r w:rsidRPr="00A25833">
        <w:rPr>
          <w:rFonts w:eastAsiaTheme="minorHAnsi"/>
          <w:sz w:val="24"/>
          <w:szCs w:val="24"/>
        </w:rPr>
        <w:t>î</w:t>
      </w:r>
      <w:r w:rsidR="00CC4D9E" w:rsidRPr="00A25833">
        <w:rPr>
          <w:rFonts w:eastAsiaTheme="minorHAnsi"/>
          <w:sz w:val="24"/>
          <w:szCs w:val="24"/>
        </w:rPr>
        <w:t>ntrucât criza generată de pandemia de COVID-19 a determinat la nivel naţional luarea unor măsuri de natură sanitară şi economică care au generat dezechilibre la nivelul indicatorilor macroeconomici</w:t>
      </w:r>
      <w:r w:rsidR="003F6A3B" w:rsidRPr="00A25833">
        <w:rPr>
          <w:rFonts w:eastAsiaTheme="minorHAnsi"/>
          <w:sz w:val="24"/>
          <w:szCs w:val="24"/>
        </w:rPr>
        <w:t>,</w:t>
      </w:r>
      <w:r w:rsidR="00CC4D9E" w:rsidRPr="00A25833">
        <w:rPr>
          <w:rFonts w:eastAsiaTheme="minorHAnsi"/>
          <w:sz w:val="24"/>
          <w:szCs w:val="24"/>
        </w:rPr>
        <w:t xml:space="preserve"> </w:t>
      </w:r>
    </w:p>
    <w:p w:rsidR="00D07483" w:rsidRPr="00A25833" w:rsidRDefault="00CC4D9E" w:rsidP="00EE2E7D">
      <w:pPr>
        <w:autoSpaceDE w:val="0"/>
        <w:autoSpaceDN w:val="0"/>
        <w:adjustRightInd w:val="0"/>
        <w:spacing w:line="240" w:lineRule="auto"/>
        <w:ind w:left="0" w:right="-46" w:firstLine="851"/>
        <w:rPr>
          <w:rFonts w:eastAsiaTheme="minorHAnsi"/>
          <w:sz w:val="24"/>
          <w:szCs w:val="24"/>
        </w:rPr>
      </w:pPr>
      <w:r w:rsidRPr="00A25833">
        <w:rPr>
          <w:rFonts w:eastAsiaTheme="minorHAnsi"/>
          <w:sz w:val="24"/>
          <w:szCs w:val="24"/>
        </w:rPr>
        <w:t>dat fiind că, ulterior, prin liberalizarea preţurilor la energie ca măsură impusă la nivel internaţional şi european s-a generat o creştere fără precedent a preţului la energia electrică, gazele naturale, precum şi la combustibil care a avut impact atât asupra creşterii preţurilor la utilităţile publice pentru populaţie, precum şi asupra creşterii preţurilor la bunurile de consum, determinând în principal o scădere a puterii de cumpărare cu impact semnificativ asupra standardelor de viaţă ale populaţiei,</w:t>
      </w:r>
    </w:p>
    <w:p w:rsidR="00D07483" w:rsidRPr="00A25833" w:rsidRDefault="00CC4D9E" w:rsidP="00EE2E7D">
      <w:pPr>
        <w:autoSpaceDE w:val="0"/>
        <w:autoSpaceDN w:val="0"/>
        <w:adjustRightInd w:val="0"/>
        <w:spacing w:line="240" w:lineRule="auto"/>
        <w:ind w:left="0" w:right="-46" w:firstLine="851"/>
        <w:rPr>
          <w:rFonts w:eastAsiaTheme="minorHAnsi"/>
          <w:sz w:val="24"/>
          <w:szCs w:val="24"/>
        </w:rPr>
      </w:pPr>
      <w:r w:rsidRPr="00A25833">
        <w:rPr>
          <w:rFonts w:eastAsiaTheme="minorHAnsi"/>
          <w:sz w:val="24"/>
          <w:szCs w:val="24"/>
        </w:rPr>
        <w:t>deoarece criza războiului din Ucraina a determinat la rândul său un impact puternic asupra preţurilor la bunurile de consum întrucât Ucraina este un mare producător şi exportator de cereale pentru Uniunea Europeană, iar odată cu declanşarea războiului aceste importuri, mai ales la cereale, s-au diminuat semnificativ astfel încât impactul asupra preţului la bunurile de consum destinate populaţiei a fost unul semnificativ,</w:t>
      </w:r>
    </w:p>
    <w:p w:rsidR="008C486A" w:rsidRPr="00A25833" w:rsidRDefault="00592EB6" w:rsidP="008C486A">
      <w:pPr>
        <w:autoSpaceDE w:val="0"/>
        <w:autoSpaceDN w:val="0"/>
        <w:adjustRightInd w:val="0"/>
        <w:spacing w:line="240" w:lineRule="auto"/>
        <w:ind w:left="0" w:right="-46" w:firstLine="851"/>
        <w:rPr>
          <w:rFonts w:eastAsiaTheme="minorHAnsi"/>
          <w:sz w:val="24"/>
          <w:szCs w:val="24"/>
        </w:rPr>
      </w:pPr>
      <w:r w:rsidRPr="00A25833">
        <w:rPr>
          <w:rFonts w:eastAsiaTheme="minorHAnsi"/>
          <w:sz w:val="24"/>
          <w:szCs w:val="24"/>
        </w:rPr>
        <w:t>în considerarea faptului că în lipsa unor măsuri concrete şi rapide s-ar vulnerabiliza şi mai mult categoriile de persoane vizate de prezenta ordonanţă de urgenţă, prin diminuarea puterii de cumpărare, cu impact semnificativ asupra standardelor de viaţă ale populaţiei şi prin amplificarea riscului de sărăcire extremă,</w:t>
      </w:r>
    </w:p>
    <w:p w:rsidR="00D07483" w:rsidRPr="00A25833" w:rsidRDefault="00D07483" w:rsidP="00EE2E7D">
      <w:pPr>
        <w:autoSpaceDE w:val="0"/>
        <w:autoSpaceDN w:val="0"/>
        <w:adjustRightInd w:val="0"/>
        <w:spacing w:line="240" w:lineRule="auto"/>
        <w:ind w:left="0" w:right="-46" w:firstLine="851"/>
        <w:rPr>
          <w:rFonts w:eastAsiaTheme="minorHAnsi"/>
          <w:sz w:val="24"/>
          <w:szCs w:val="24"/>
        </w:rPr>
      </w:pPr>
      <w:r w:rsidRPr="00A25833">
        <w:rPr>
          <w:rFonts w:eastAsiaTheme="minorHAnsi"/>
          <w:sz w:val="24"/>
          <w:szCs w:val="24"/>
        </w:rPr>
        <w:t>având în vedere faptul că drepturilor salariale ale personalului din sectorul bugetar nu au fost majorate în ultimii doi ani ca urmare a măsurilor fiscal-bugetare adoptate în contextul economic actual, cu excepția personalului care ocupă f</w:t>
      </w:r>
      <w:r w:rsidR="008B52E3" w:rsidRPr="00A25833">
        <w:rPr>
          <w:rFonts w:eastAsiaTheme="minorHAnsi"/>
          <w:sz w:val="24"/>
          <w:szCs w:val="24"/>
        </w:rPr>
        <w:t>uncţiile prevăzute în anexa nr.</w:t>
      </w:r>
      <w:r w:rsidRPr="00A25833">
        <w:rPr>
          <w:rFonts w:eastAsiaTheme="minorHAnsi"/>
          <w:sz w:val="24"/>
          <w:szCs w:val="24"/>
        </w:rPr>
        <w:t>II "Familia ocupaţională de funcţii bugetare «Sănătate şi asistenţă socială»" la Legea-cadru nr. 153/2017, cu modificările şi completările ulterioare, precum și a personalului didactic de predare, personalul didactic auxiliar, personalul didactic de conducere şi personalul de îndrumare şi control din învăţământ care au beneficia</w:t>
      </w:r>
      <w:r w:rsidR="00F81AD9" w:rsidRPr="00A25833">
        <w:rPr>
          <w:rFonts w:eastAsiaTheme="minorHAnsi"/>
          <w:sz w:val="24"/>
          <w:szCs w:val="24"/>
        </w:rPr>
        <w:t>t</w:t>
      </w:r>
      <w:r w:rsidRPr="00A25833">
        <w:rPr>
          <w:rFonts w:eastAsiaTheme="minorHAnsi"/>
          <w:sz w:val="24"/>
          <w:szCs w:val="24"/>
        </w:rPr>
        <w:t xml:space="preserve"> de</w:t>
      </w:r>
      <w:r w:rsidR="00D1016E" w:rsidRPr="00A25833">
        <w:rPr>
          <w:rFonts w:eastAsiaTheme="minorHAnsi"/>
          <w:sz w:val="24"/>
          <w:szCs w:val="24"/>
        </w:rPr>
        <w:t xml:space="preserve"> la începutul anului 2022 de o pătrime</w:t>
      </w:r>
      <w:r w:rsidRPr="00A25833">
        <w:rPr>
          <w:rFonts w:eastAsiaTheme="minorHAnsi"/>
          <w:sz w:val="24"/>
          <w:szCs w:val="24"/>
        </w:rPr>
        <w:t xml:space="preserve"> din diferența </w:t>
      </w:r>
      <w:r w:rsidRPr="00A25833">
        <w:rPr>
          <w:rFonts w:eastAsiaTheme="minorHAnsi"/>
          <w:sz w:val="24"/>
          <w:szCs w:val="24"/>
        </w:rPr>
        <w:lastRenderedPageBreak/>
        <w:t>dintre salariul de bază prevăzut de Legea-cadru nr. 153/2017, cu modificările şi completările ulterioare, pentru anul 2022 şi cel din luna decembrie 2021,</w:t>
      </w:r>
    </w:p>
    <w:p w:rsidR="00A84FEC" w:rsidRPr="00A25833" w:rsidRDefault="0019248D" w:rsidP="00A84FEC">
      <w:pPr>
        <w:autoSpaceDE w:val="0"/>
        <w:autoSpaceDN w:val="0"/>
        <w:adjustRightInd w:val="0"/>
        <w:spacing w:line="240" w:lineRule="auto"/>
        <w:ind w:left="0" w:right="-46" w:firstLine="851"/>
        <w:rPr>
          <w:rFonts w:eastAsiaTheme="minorHAnsi"/>
          <w:sz w:val="24"/>
          <w:szCs w:val="24"/>
        </w:rPr>
      </w:pPr>
      <w:r w:rsidRPr="00A25833">
        <w:rPr>
          <w:rFonts w:eastAsiaTheme="minorHAnsi"/>
          <w:sz w:val="24"/>
          <w:szCs w:val="24"/>
        </w:rPr>
        <w:t>ținând cont de</w:t>
      </w:r>
      <w:r w:rsidR="003A6F24" w:rsidRPr="00A25833">
        <w:rPr>
          <w:rFonts w:eastAsiaTheme="minorHAnsi"/>
          <w:sz w:val="24"/>
          <w:szCs w:val="24"/>
        </w:rPr>
        <w:t xml:space="preserve"> necesitatea corelării prevederilor legale care reglementează cadrul instituţional şi financiar general aplicabil fondurilor europene în cadrul Mecanismului de redresare şi rezilienţă, situație care, în prezent, generează întârzieri în implementarea acestuia, cu impact asupra gradului de absorbţie a fondurilor alocate României,</w:t>
      </w:r>
    </w:p>
    <w:p w:rsidR="00A84FEC" w:rsidRPr="00A25833" w:rsidRDefault="00A84FEC" w:rsidP="00A84FEC">
      <w:pPr>
        <w:autoSpaceDE w:val="0"/>
        <w:autoSpaceDN w:val="0"/>
        <w:adjustRightInd w:val="0"/>
        <w:spacing w:line="240" w:lineRule="auto"/>
        <w:ind w:left="0" w:right="-46" w:firstLine="851"/>
        <w:rPr>
          <w:rFonts w:eastAsiaTheme="minorHAnsi"/>
          <w:sz w:val="24"/>
          <w:szCs w:val="24"/>
        </w:rPr>
      </w:pPr>
      <w:r w:rsidRPr="00A25833">
        <w:rPr>
          <w:rFonts w:eastAsiaTheme="minorHAnsi"/>
          <w:sz w:val="24"/>
          <w:szCs w:val="24"/>
        </w:rPr>
        <w:t>având în vedere că, prin comparație cu nivelul de salarizare practicat în cadrul celorlalte autorități ale administrației publice centrale, cât și al serviciilor deconcentrate ale acestora, nivelul de salarizare existent în cadrul aparatului propriu al Ministerului Culturii și Ministerului Transporturilor și Infrastructurii, precum și al serviciilor deconcentrate ale acestora, se situează la limita inferioară existentă la nivelul tuturor instituțiilor publice de la nivel central,</w:t>
      </w:r>
    </w:p>
    <w:p w:rsidR="002609A2" w:rsidRPr="00A25833" w:rsidRDefault="002609A2" w:rsidP="00A84FEC">
      <w:pPr>
        <w:autoSpaceDE w:val="0"/>
        <w:autoSpaceDN w:val="0"/>
        <w:adjustRightInd w:val="0"/>
        <w:spacing w:line="240" w:lineRule="auto"/>
        <w:ind w:left="0" w:right="-46" w:firstLine="851"/>
        <w:rPr>
          <w:rFonts w:eastAsiaTheme="minorHAnsi"/>
          <w:sz w:val="24"/>
          <w:szCs w:val="24"/>
        </w:rPr>
      </w:pPr>
      <w:r w:rsidRPr="00A25833">
        <w:rPr>
          <w:rFonts w:eastAsiaTheme="minorHAnsi"/>
          <w:sz w:val="24"/>
          <w:szCs w:val="24"/>
        </w:rPr>
        <w:t xml:space="preserve">ținând cont de absența unui sistem motivațional pentru personalul din cadrul Institutului Național de Statistică precum și din cadrul direcțiilor regionale și județene de statistică care face foarte dificil demersul de atragere a personalului cu înaltă pregătire profesională sau păstrarea experților calificați și cu experiență,  </w:t>
      </w:r>
    </w:p>
    <w:p w:rsidR="00795576" w:rsidRPr="00A25833" w:rsidRDefault="00795576" w:rsidP="00A84FEC">
      <w:pPr>
        <w:autoSpaceDE w:val="0"/>
        <w:autoSpaceDN w:val="0"/>
        <w:adjustRightInd w:val="0"/>
        <w:spacing w:line="240" w:lineRule="auto"/>
        <w:ind w:left="0" w:right="-46" w:firstLine="851"/>
        <w:rPr>
          <w:rFonts w:eastAsiaTheme="minorHAnsi"/>
          <w:sz w:val="24"/>
          <w:szCs w:val="24"/>
        </w:rPr>
      </w:pPr>
      <w:r w:rsidRPr="00A25833">
        <w:rPr>
          <w:rFonts w:eastAsiaTheme="minorHAnsi"/>
          <w:sz w:val="24"/>
          <w:szCs w:val="24"/>
        </w:rPr>
        <w:t>având în vedere gradul de complexitate al muncii în cadrul Institutului Național de Statistică precum și în cadrul direcțiilor regionale și județene de statistică, pe întreg parcursul cercetării statistice, alături de dificultatea colectării de date primare, fiind necesară o experiență statistică de nivel superior,</w:t>
      </w:r>
    </w:p>
    <w:p w:rsidR="00A84FEC" w:rsidRPr="00A25833" w:rsidRDefault="00A84FEC" w:rsidP="00A84FEC">
      <w:pPr>
        <w:autoSpaceDE w:val="0"/>
        <w:autoSpaceDN w:val="0"/>
        <w:adjustRightInd w:val="0"/>
        <w:spacing w:line="240" w:lineRule="auto"/>
        <w:ind w:left="0" w:right="-46" w:firstLine="851"/>
        <w:rPr>
          <w:rFonts w:eastAsiaTheme="minorHAnsi"/>
          <w:sz w:val="24"/>
          <w:szCs w:val="24"/>
        </w:rPr>
      </w:pPr>
      <w:r w:rsidRPr="00A25833">
        <w:rPr>
          <w:rFonts w:eastAsiaTheme="minorHAnsi"/>
          <w:sz w:val="24"/>
          <w:szCs w:val="24"/>
        </w:rPr>
        <w:t>în considerarea faptului că, atât Ministerul Culturii și Ministerul Transporturilor și Infrastructurii, cât si serviciile publice deconcentrate ale acestuia  întâmpină greutăţi în atragerea de specialişti care să înlocuiască persoanele cu experienţă şi vechime care părăsesc instituţia prin pensionare, transfer și prin renunţare la funcţia deținută și insuficient remunerată,</w:t>
      </w:r>
    </w:p>
    <w:p w:rsidR="00C60ED9" w:rsidRPr="00A25833" w:rsidRDefault="00D07483" w:rsidP="00EE2E7D">
      <w:pPr>
        <w:spacing w:line="240" w:lineRule="auto"/>
        <w:ind w:left="0" w:firstLine="709"/>
        <w:rPr>
          <w:rFonts w:eastAsia="Times New Roman"/>
          <w:sz w:val="24"/>
          <w:szCs w:val="24"/>
          <w:lang w:eastAsia="ro-RO"/>
        </w:rPr>
      </w:pPr>
      <w:r w:rsidRPr="00A25833">
        <w:rPr>
          <w:rFonts w:eastAsiaTheme="minorHAnsi"/>
          <w:sz w:val="24"/>
          <w:szCs w:val="24"/>
        </w:rPr>
        <w:t>î</w:t>
      </w:r>
      <w:r w:rsidR="00C60ED9" w:rsidRPr="00A25833">
        <w:rPr>
          <w:rFonts w:eastAsiaTheme="minorHAnsi"/>
          <w:sz w:val="24"/>
          <w:szCs w:val="24"/>
        </w:rPr>
        <w:t>n considerarea faptului că aceste elemente vizează interesul public şi constituie o situaţie de urgenţă şi extraordinară a cărei reglementare nu poate fi amânată</w:t>
      </w:r>
    </w:p>
    <w:p w:rsidR="00C60ED9" w:rsidRPr="00A25833" w:rsidRDefault="00C60ED9" w:rsidP="00EE2E7D">
      <w:pPr>
        <w:pBdr>
          <w:top w:val="nil"/>
          <w:left w:val="nil"/>
          <w:bottom w:val="nil"/>
          <w:right w:val="nil"/>
          <w:between w:val="nil"/>
          <w:bar w:val="nil"/>
        </w:pBdr>
        <w:spacing w:line="240" w:lineRule="auto"/>
        <w:ind w:left="0" w:firstLine="709"/>
        <w:rPr>
          <w:rFonts w:eastAsia="Arial Unicode MS"/>
          <w:iCs/>
          <w:sz w:val="24"/>
          <w:szCs w:val="24"/>
          <w:u w:color="000000"/>
          <w:bdr w:val="nil"/>
          <w14:textOutline w14:w="0" w14:cap="flat" w14:cmpd="sng" w14:algn="ctr">
            <w14:noFill/>
            <w14:prstDash w14:val="solid"/>
            <w14:bevel/>
          </w14:textOutline>
        </w:rPr>
      </w:pPr>
      <w:r w:rsidRPr="00A25833">
        <w:rPr>
          <w:rFonts w:eastAsia="Arial Unicode MS"/>
          <w:iCs/>
          <w:sz w:val="24"/>
          <w:szCs w:val="24"/>
          <w:u w:color="000000"/>
          <w:bdr w:val="nil"/>
          <w14:textOutline w14:w="0" w14:cap="flat" w14:cmpd="sng" w14:algn="ctr">
            <w14:noFill/>
            <w14:prstDash w14:val="solid"/>
            <w14:bevel/>
          </w14:textOutline>
        </w:rPr>
        <w:t xml:space="preserve">în </w:t>
      </w:r>
      <w:r w:rsidRPr="00A25833">
        <w:rPr>
          <w:rFonts w:eastAsia="Arial Unicode MS"/>
          <w:iCs/>
          <w:sz w:val="24"/>
          <w:szCs w:val="24"/>
          <w:bdr w:val="nil"/>
          <w14:textOutline w14:w="0" w14:cap="flat" w14:cmpd="sng" w14:algn="ctr">
            <w14:noFill/>
            <w14:prstDash w14:val="solid"/>
            <w14:bevel/>
          </w14:textOutline>
        </w:rPr>
        <w:t>temeiul art. 115</w:t>
      </w:r>
      <w:r w:rsidRPr="00A25833">
        <w:rPr>
          <w:rFonts w:eastAsia="Arial Unicode MS"/>
          <w:iCs/>
          <w:sz w:val="24"/>
          <w:szCs w:val="24"/>
          <w:u w:color="000000"/>
          <w:bdr w:val="nil"/>
          <w14:textOutline w14:w="0" w14:cap="flat" w14:cmpd="sng" w14:algn="ctr">
            <w14:noFill/>
            <w14:prstDash w14:val="solid"/>
            <w14:bevel/>
          </w14:textOutline>
        </w:rPr>
        <w:t xml:space="preserve"> alin. (4) din Constituţia României, republicată,  </w:t>
      </w:r>
    </w:p>
    <w:p w:rsidR="008617C6" w:rsidRPr="00A25833" w:rsidRDefault="008617C6" w:rsidP="00EE2E7D">
      <w:pPr>
        <w:pBdr>
          <w:top w:val="nil"/>
          <w:left w:val="nil"/>
          <w:bottom w:val="nil"/>
          <w:right w:val="nil"/>
          <w:between w:val="nil"/>
          <w:bar w:val="nil"/>
        </w:pBdr>
        <w:spacing w:line="240" w:lineRule="auto"/>
        <w:ind w:left="0" w:firstLine="709"/>
        <w:rPr>
          <w:rFonts w:eastAsia="Arial Unicode MS"/>
          <w:iCs/>
          <w:sz w:val="24"/>
          <w:szCs w:val="24"/>
          <w:u w:color="000000"/>
          <w:bdr w:val="nil"/>
          <w14:textOutline w14:w="0" w14:cap="flat" w14:cmpd="sng" w14:algn="ctr">
            <w14:noFill/>
            <w14:prstDash w14:val="solid"/>
            <w14:bevel/>
          </w14:textOutline>
        </w:rPr>
      </w:pPr>
    </w:p>
    <w:p w:rsidR="003A6F24" w:rsidRPr="00A25833" w:rsidRDefault="003A6F24" w:rsidP="00EE2E7D">
      <w:pPr>
        <w:pBdr>
          <w:top w:val="nil"/>
          <w:left w:val="nil"/>
          <w:bottom w:val="nil"/>
          <w:right w:val="nil"/>
          <w:between w:val="nil"/>
          <w:bar w:val="nil"/>
        </w:pBdr>
        <w:spacing w:line="240" w:lineRule="auto"/>
        <w:ind w:left="0"/>
        <w:rPr>
          <w:rFonts w:eastAsia="Arial Unicode MS"/>
          <w:b/>
          <w:iCs/>
          <w:sz w:val="24"/>
          <w:szCs w:val="24"/>
          <w:u w:color="000000"/>
          <w:bdr w:val="nil"/>
          <w14:textOutline w14:w="0" w14:cap="flat" w14:cmpd="sng" w14:algn="ctr">
            <w14:noFill/>
            <w14:prstDash w14:val="solid"/>
            <w14:bevel/>
          </w14:textOutline>
        </w:rPr>
      </w:pPr>
    </w:p>
    <w:p w:rsidR="00C60ED9" w:rsidRPr="00A25833" w:rsidRDefault="00C60ED9" w:rsidP="00EE2E7D">
      <w:pPr>
        <w:pBdr>
          <w:top w:val="nil"/>
          <w:left w:val="nil"/>
          <w:bottom w:val="nil"/>
          <w:right w:val="nil"/>
          <w:between w:val="nil"/>
          <w:bar w:val="nil"/>
        </w:pBdr>
        <w:spacing w:line="240" w:lineRule="auto"/>
        <w:ind w:left="0"/>
        <w:rPr>
          <w:rFonts w:eastAsia="Arial Unicode MS"/>
          <w:b/>
          <w:iCs/>
          <w:sz w:val="24"/>
          <w:szCs w:val="24"/>
          <w:u w:color="000000"/>
          <w:bdr w:val="nil"/>
          <w14:textOutline w14:w="0" w14:cap="flat" w14:cmpd="sng" w14:algn="ctr">
            <w14:noFill/>
            <w14:prstDash w14:val="solid"/>
            <w14:bevel/>
          </w14:textOutline>
        </w:rPr>
      </w:pPr>
      <w:r w:rsidRPr="00A25833">
        <w:rPr>
          <w:rFonts w:eastAsia="Arial Unicode MS"/>
          <w:b/>
          <w:iCs/>
          <w:sz w:val="24"/>
          <w:szCs w:val="24"/>
          <w:u w:color="000000"/>
          <w:bdr w:val="nil"/>
          <w14:textOutline w14:w="0" w14:cap="flat" w14:cmpd="sng" w14:algn="ctr">
            <w14:noFill/>
            <w14:prstDash w14:val="solid"/>
            <w14:bevel/>
          </w14:textOutline>
        </w:rPr>
        <w:t xml:space="preserve">Guvernul României adoptă prezenta ordonanţă de urgenţă.  </w:t>
      </w:r>
    </w:p>
    <w:p w:rsidR="00765AA5" w:rsidRPr="00A25833" w:rsidRDefault="00C04808" w:rsidP="00EE2E7D">
      <w:pPr>
        <w:autoSpaceDE w:val="0"/>
        <w:autoSpaceDN w:val="0"/>
        <w:adjustRightInd w:val="0"/>
        <w:spacing w:line="240" w:lineRule="auto"/>
        <w:ind w:left="0"/>
        <w:rPr>
          <w:sz w:val="24"/>
          <w:szCs w:val="24"/>
        </w:rPr>
      </w:pPr>
      <w:r w:rsidRPr="00A25833">
        <w:rPr>
          <w:rFonts w:eastAsiaTheme="minorHAnsi"/>
          <w:sz w:val="24"/>
          <w:szCs w:val="24"/>
        </w:rPr>
        <w:t xml:space="preserve"> </w:t>
      </w:r>
    </w:p>
    <w:p w:rsidR="00765AA5" w:rsidRPr="00A25833" w:rsidRDefault="00765AA5" w:rsidP="00EE2E7D">
      <w:pPr>
        <w:pStyle w:val="Default"/>
        <w:jc w:val="both"/>
        <w:rPr>
          <w:rFonts w:ascii="Trebuchet MS" w:hAnsi="Trebuchet MS"/>
          <w:noProof/>
          <w:color w:val="auto"/>
          <w:lang w:val="ro-RO"/>
        </w:rPr>
      </w:pPr>
      <w:r w:rsidRPr="00A25833">
        <w:rPr>
          <w:rFonts w:ascii="Trebuchet MS" w:hAnsi="Trebuchet MS"/>
          <w:b/>
          <w:bCs/>
          <w:noProof/>
          <w:color w:val="auto"/>
          <w:lang w:val="ro-RO"/>
        </w:rPr>
        <w:t xml:space="preserve">Art. I. </w:t>
      </w:r>
      <w:r w:rsidRPr="00A25833">
        <w:rPr>
          <w:rFonts w:ascii="Trebuchet MS" w:hAnsi="Trebuchet MS"/>
          <w:noProof/>
          <w:color w:val="auto"/>
          <w:lang w:val="ro-RO"/>
        </w:rPr>
        <w:t xml:space="preserve">– Legea-cadru nr. 153/2017 privind salarizarea personalului plătit din fonduri publice, publicată în Monitorul Oficial al României, Partea I, nr. 492 din 28 iunie 2017, cu modificările şi completările ulterioare, se modifică şi se completează după cum urmează: </w:t>
      </w:r>
    </w:p>
    <w:p w:rsidR="001E0912" w:rsidRPr="00A25833" w:rsidRDefault="001E0912" w:rsidP="00EE2E7D">
      <w:pPr>
        <w:pStyle w:val="Default"/>
        <w:jc w:val="both"/>
        <w:rPr>
          <w:rFonts w:ascii="Trebuchet MS" w:hAnsi="Trebuchet MS"/>
          <w:noProof/>
          <w:color w:val="auto"/>
          <w:lang w:val="ro-RO"/>
        </w:rPr>
      </w:pPr>
    </w:p>
    <w:p w:rsidR="00DF45FE" w:rsidRPr="00A25833" w:rsidRDefault="00DF45FE" w:rsidP="00DF45FE">
      <w:pPr>
        <w:pStyle w:val="Standard"/>
        <w:numPr>
          <w:ilvl w:val="0"/>
          <w:numId w:val="6"/>
        </w:numPr>
        <w:ind w:left="0" w:firstLine="0"/>
        <w:jc w:val="both"/>
        <w:rPr>
          <w:rFonts w:ascii="Trebuchet MS" w:hAnsi="Trebuchet MS" w:cs="Times New Roman"/>
          <w:noProof/>
          <w:lang w:val="ro-RO"/>
        </w:rPr>
      </w:pPr>
      <w:r w:rsidRPr="00A25833">
        <w:rPr>
          <w:rFonts w:ascii="Trebuchet MS" w:eastAsia="Calibri" w:hAnsi="Trebuchet MS" w:cs="Times New Roman"/>
          <w:b/>
          <w:bCs/>
          <w:noProof/>
          <w:lang w:val="ro-RO" w:eastAsia="ro-RO"/>
        </w:rPr>
        <w:t xml:space="preserve">La </w:t>
      </w:r>
      <w:r w:rsidRPr="00A25833">
        <w:rPr>
          <w:rFonts w:ascii="Trebuchet MS" w:eastAsia="Calibri" w:hAnsi="Trebuchet MS" w:cs="Times New Roman"/>
          <w:b/>
          <w:bCs/>
          <w:iCs/>
          <w:noProof/>
          <w:lang w:val="ro-RO" w:eastAsia="ro-RO"/>
        </w:rPr>
        <w:t>articolul 16, alineatele (1), (8) și (10</w:t>
      </w:r>
      <w:r w:rsidRPr="00A25833">
        <w:rPr>
          <w:rFonts w:ascii="Trebuchet MS" w:eastAsia="Calibri" w:hAnsi="Trebuchet MS" w:cs="Times New Roman"/>
          <w:b/>
          <w:bCs/>
          <w:iCs/>
          <w:noProof/>
          <w:vertAlign w:val="superscript"/>
          <w:lang w:val="ro-RO" w:eastAsia="ro-RO"/>
        </w:rPr>
        <w:t>5</w:t>
      </w:r>
      <w:r w:rsidRPr="00A25833">
        <w:rPr>
          <w:rFonts w:ascii="Trebuchet MS" w:eastAsia="Calibri" w:hAnsi="Trebuchet MS" w:cs="Times New Roman"/>
          <w:b/>
          <w:bCs/>
          <w:iCs/>
          <w:noProof/>
          <w:lang w:val="ro-RO" w:eastAsia="ro-RO"/>
        </w:rPr>
        <w:t>) se modifică și vor avea următorul cuprins:</w:t>
      </w:r>
    </w:p>
    <w:p w:rsidR="00A556E8" w:rsidRPr="00A25833" w:rsidRDefault="00DF45FE" w:rsidP="00A556E8">
      <w:pPr>
        <w:pStyle w:val="Standard"/>
        <w:jc w:val="both"/>
        <w:rPr>
          <w:rFonts w:ascii="Trebuchet MS" w:eastAsia="Calibri" w:hAnsi="Trebuchet MS" w:cs="Times New Roman"/>
          <w:noProof/>
          <w:lang w:val="ro-RO" w:eastAsia="ro-RO"/>
        </w:rPr>
      </w:pPr>
      <w:r w:rsidRPr="00A25833">
        <w:rPr>
          <w:rFonts w:ascii="Trebuchet MS" w:eastAsia="Calibri" w:hAnsi="Trebuchet MS" w:cs="Times New Roman"/>
          <w:iCs/>
          <w:noProof/>
          <w:lang w:val="ro-RO" w:eastAsia="ro-RO"/>
        </w:rPr>
        <w:t xml:space="preserve">”(1) </w:t>
      </w:r>
      <w:r w:rsidRPr="00A25833">
        <w:rPr>
          <w:rFonts w:ascii="Trebuchet MS" w:eastAsia="Calibri" w:hAnsi="Trebuchet MS" w:cs="Times New Roman"/>
          <w:noProof/>
          <w:lang w:val="ro-RO" w:eastAsia="ro-RO"/>
        </w:rPr>
        <w:t>Personalul din instituţiile şi/sau autorităţile publice nominalizat în echipele de proiecte finanţate din fonduri europene nerambursabile</w:t>
      </w:r>
      <w:r w:rsidR="00AC414F" w:rsidRPr="00A25833">
        <w:rPr>
          <w:rFonts w:ascii="Trebuchet MS" w:eastAsia="Calibri" w:hAnsi="Trebuchet MS" w:cs="Times New Roman"/>
          <w:noProof/>
          <w:lang w:val="ro-RO" w:eastAsia="ro-RO"/>
        </w:rPr>
        <w:t>,</w:t>
      </w:r>
      <w:r w:rsidR="00AC414F" w:rsidRPr="00A25833">
        <w:t xml:space="preserve"> </w:t>
      </w:r>
      <w:r w:rsidR="00AC414F" w:rsidRPr="00A25833">
        <w:rPr>
          <w:rFonts w:ascii="Trebuchet MS" w:eastAsia="Calibri" w:hAnsi="Trebuchet MS" w:cs="Times New Roman"/>
          <w:noProof/>
          <w:lang w:val="ro-RO" w:eastAsia="ro-RO"/>
        </w:rPr>
        <w:t xml:space="preserve">în baza legilor pentru ratificarea sau aprobarea acordurilor de împrumut adoptate de Parlamentul </w:t>
      </w:r>
      <w:r w:rsidR="00AC414F" w:rsidRPr="00A25833">
        <w:rPr>
          <w:rFonts w:ascii="Trebuchet MS" w:eastAsia="Calibri" w:hAnsi="Trebuchet MS" w:cs="Times New Roman"/>
          <w:noProof/>
          <w:lang w:val="ro-RO" w:eastAsia="ro-RO"/>
        </w:rPr>
        <w:lastRenderedPageBreak/>
        <w:t>României</w:t>
      </w:r>
      <w:r w:rsidRPr="00A25833">
        <w:rPr>
          <w:rFonts w:ascii="Trebuchet MS" w:eastAsia="Calibri" w:hAnsi="Trebuchet MS" w:cs="Times New Roman"/>
          <w:noProof/>
          <w:lang w:val="ro-RO" w:eastAsia="ro-RO"/>
        </w:rPr>
        <w:t xml:space="preserve"> </w:t>
      </w:r>
      <w:r w:rsidR="00DD3E4A" w:rsidRPr="00A25833">
        <w:rPr>
          <w:rFonts w:ascii="Trebuchet MS" w:eastAsia="Calibri" w:hAnsi="Trebuchet MS" w:cs="Times New Roman"/>
          <w:noProof/>
          <w:lang w:val="ro-RO" w:eastAsia="ro-RO"/>
        </w:rPr>
        <w:t>și/</w:t>
      </w:r>
      <w:r w:rsidRPr="00A25833">
        <w:rPr>
          <w:rFonts w:ascii="Trebuchet MS" w:eastAsia="Calibri" w:hAnsi="Trebuchet MS" w:cs="Times New Roman"/>
          <w:noProof/>
          <w:lang w:val="ro-RO" w:eastAsia="ro-RO"/>
        </w:rPr>
        <w:t>sau în cadrul Mecanismului de redresare şi rezilienţă,  beneficiază de majorarea salariilor de bază, soldelor de funcţie/salariilor de funcţie, indemnizaţiilor de încadrare cu până la 50%, indiferent de numărul de proiecte în care este implicat. Această majorare se aplică proporţional cu timpul efectiv alocat activităţilor pentru fiecare proiect.</w:t>
      </w:r>
    </w:p>
    <w:p w:rsidR="00DF45FE" w:rsidRPr="00A25833" w:rsidRDefault="00A556E8" w:rsidP="00A556E8">
      <w:pPr>
        <w:pStyle w:val="Standard"/>
        <w:jc w:val="both"/>
        <w:rPr>
          <w:rFonts w:ascii="Trebuchet MS" w:hAnsi="Trebuchet MS" w:cs="Times New Roman"/>
          <w:noProof/>
          <w:lang w:val="ro-RO"/>
        </w:rPr>
      </w:pPr>
      <w:r w:rsidRPr="00A25833">
        <w:rPr>
          <w:rFonts w:ascii="Trebuchet MS" w:eastAsia="Calibri" w:hAnsi="Trebuchet MS" w:cs="Times New Roman"/>
          <w:noProof/>
          <w:lang w:val="ro-RO" w:eastAsia="ro-RO"/>
        </w:rPr>
        <w:t xml:space="preserve"> </w:t>
      </w:r>
      <w:r w:rsidR="00DF45FE" w:rsidRPr="00A25833">
        <w:rPr>
          <w:rFonts w:ascii="Trebuchet MS" w:eastAsia="Calibri" w:hAnsi="Trebuchet MS" w:cs="Times New Roman"/>
          <w:noProof/>
          <w:lang w:val="ro-RO" w:eastAsia="ro-RO"/>
        </w:rPr>
        <w:t>(8) Prevederile prezentului articol nu sunt aplicabile personalului care beneficiază</w:t>
      </w:r>
      <w:r w:rsidRPr="00A25833">
        <w:rPr>
          <w:rFonts w:ascii="Trebuchet MS" w:eastAsia="Calibri" w:hAnsi="Trebuchet MS" w:cs="Times New Roman"/>
          <w:noProof/>
          <w:lang w:val="ro-RO" w:eastAsia="ro-RO"/>
        </w:rPr>
        <w:t xml:space="preserve"> de prevederile art.</w:t>
      </w:r>
      <w:r w:rsidR="00DF45FE" w:rsidRPr="00A25833">
        <w:rPr>
          <w:rFonts w:ascii="Trebuchet MS" w:eastAsia="Calibri" w:hAnsi="Trebuchet MS" w:cs="Times New Roman"/>
          <w:noProof/>
          <w:lang w:val="ro-RO" w:eastAsia="ro-RO"/>
        </w:rPr>
        <w:t xml:space="preserve">17 </w:t>
      </w:r>
      <w:r w:rsidRPr="00A25833">
        <w:rPr>
          <w:rFonts w:ascii="Trebuchet MS" w:eastAsia="Calibri" w:hAnsi="Trebuchet MS" w:cs="Times New Roman"/>
          <w:noProof/>
          <w:lang w:val="ro-RO" w:eastAsia="ro-RO"/>
        </w:rPr>
        <w:t>alin.(1)</w:t>
      </w:r>
      <w:r w:rsidR="00DF45FE" w:rsidRPr="00A25833">
        <w:rPr>
          <w:rFonts w:ascii="Trebuchet MS" w:eastAsia="Calibri" w:hAnsi="Trebuchet MS" w:cs="Times New Roman"/>
          <w:noProof/>
          <w:lang w:val="ro-RO" w:eastAsia="ro-RO"/>
        </w:rPr>
        <w:t>-(2</w:t>
      </w:r>
      <w:r w:rsidR="00DF45FE" w:rsidRPr="00A25833">
        <w:rPr>
          <w:rFonts w:ascii="Trebuchet MS" w:eastAsia="Calibri" w:hAnsi="Trebuchet MS" w:cs="Times New Roman"/>
          <w:noProof/>
          <w:vertAlign w:val="superscript"/>
          <w:lang w:val="ro-RO" w:eastAsia="ro-RO"/>
        </w:rPr>
        <w:t>1</w:t>
      </w:r>
      <w:r w:rsidR="00DF45FE" w:rsidRPr="00A25833">
        <w:rPr>
          <w:rFonts w:ascii="Trebuchet MS" w:eastAsia="Calibri" w:hAnsi="Trebuchet MS" w:cs="Times New Roman"/>
          <w:noProof/>
          <w:lang w:val="ro-RO" w:eastAsia="ro-RO"/>
        </w:rPr>
        <w:t>) și demnitarilor, cu excepţia funcţiilor de preşedinte și vicepreşedinte al consiliului judeţean şi primar și viceprimar.</w:t>
      </w:r>
    </w:p>
    <w:p w:rsidR="00DF45FE" w:rsidRPr="00A25833" w:rsidRDefault="00A556E8" w:rsidP="00A556E8">
      <w:pPr>
        <w:pStyle w:val="Standard"/>
        <w:jc w:val="both"/>
        <w:rPr>
          <w:rFonts w:ascii="Trebuchet MS" w:eastAsia="Calibri" w:hAnsi="Trebuchet MS" w:cs="Times New Roman"/>
          <w:noProof/>
          <w:lang w:val="ro-RO" w:eastAsia="ro-RO"/>
        </w:rPr>
      </w:pPr>
      <w:r w:rsidRPr="00A25833">
        <w:rPr>
          <w:rFonts w:ascii="Trebuchet MS" w:eastAsia="Calibri" w:hAnsi="Trebuchet MS" w:cs="Times New Roman"/>
          <w:noProof/>
          <w:lang w:val="ro-RO" w:eastAsia="ro-RO"/>
        </w:rPr>
        <w:t xml:space="preserve"> </w:t>
      </w:r>
      <w:r w:rsidR="00DF45FE" w:rsidRPr="00A25833">
        <w:rPr>
          <w:rFonts w:ascii="Trebuchet MS" w:eastAsia="Calibri" w:hAnsi="Trebuchet MS" w:cs="Times New Roman"/>
          <w:noProof/>
          <w:lang w:val="ro-RO" w:eastAsia="ro-RO"/>
        </w:rPr>
        <w:t>(10</w:t>
      </w:r>
      <w:r w:rsidR="00DF45FE" w:rsidRPr="00A25833">
        <w:rPr>
          <w:rFonts w:ascii="Trebuchet MS" w:eastAsia="Calibri" w:hAnsi="Trebuchet MS" w:cs="Times New Roman"/>
          <w:noProof/>
          <w:vertAlign w:val="superscript"/>
          <w:lang w:val="ro-RO" w:eastAsia="ro-RO"/>
        </w:rPr>
        <w:t>5</w:t>
      </w:r>
      <w:r w:rsidR="00DF45FE" w:rsidRPr="00A25833">
        <w:rPr>
          <w:rFonts w:ascii="Trebuchet MS" w:eastAsia="Calibri" w:hAnsi="Trebuchet MS" w:cs="Times New Roman"/>
          <w:noProof/>
          <w:lang w:val="ro-RO" w:eastAsia="ro-RO"/>
        </w:rPr>
        <w:t xml:space="preserve">) Condițiile de înființare a posturilor în afara organigramei potrivit alin. (10) și criteriile pe baza cărora se stabilește procentul de majorare salarială pentru persoanele care își desfășoară activitatea în cadrul proiectelor finanțate din fonduri europene nerambursabile </w:t>
      </w:r>
      <w:r w:rsidR="00DF45FE" w:rsidRPr="00A25833">
        <w:rPr>
          <w:rFonts w:ascii="Trebuchet MS" w:eastAsia="Calibri" w:hAnsi="Trebuchet MS" w:cs="Times New Roman"/>
          <w:bCs/>
          <w:noProof/>
          <w:lang w:val="ro-RO" w:eastAsia="ro-RO"/>
        </w:rPr>
        <w:t>sau în cadrul Mecanismului de redresare şi rezilienţă</w:t>
      </w:r>
      <w:r w:rsidR="00DF45FE" w:rsidRPr="00A25833">
        <w:rPr>
          <w:rFonts w:ascii="Trebuchet MS" w:eastAsia="Calibri" w:hAnsi="Trebuchet MS" w:cs="Times New Roman"/>
          <w:b/>
          <w:bCs/>
          <w:noProof/>
          <w:lang w:val="ro-RO" w:eastAsia="ro-RO"/>
        </w:rPr>
        <w:t xml:space="preserve"> </w:t>
      </w:r>
      <w:r w:rsidR="00DF45FE" w:rsidRPr="00A25833">
        <w:rPr>
          <w:rFonts w:ascii="Trebuchet MS" w:eastAsia="Calibri" w:hAnsi="Trebuchet MS" w:cs="Times New Roman"/>
          <w:noProof/>
          <w:lang w:val="ro-RO" w:eastAsia="ro-RO"/>
        </w:rPr>
        <w:t>se realizează pe baza unui regulament-cadru elaborat de Ministerul Dezvoltării, Lucrărilor Publice și Administrației și Ministerul  Investițiilor și Proiectelor Europene, care se aprobă prin hotărâre a Guvernului.”</w:t>
      </w:r>
    </w:p>
    <w:p w:rsidR="00A556E8" w:rsidRPr="00A25833" w:rsidRDefault="00A556E8" w:rsidP="00A556E8">
      <w:pPr>
        <w:pStyle w:val="Standard"/>
        <w:jc w:val="both"/>
        <w:rPr>
          <w:rFonts w:ascii="Trebuchet MS" w:hAnsi="Trebuchet MS" w:cs="Times New Roman"/>
          <w:noProof/>
          <w:lang w:val="ro-RO"/>
        </w:rPr>
      </w:pPr>
    </w:p>
    <w:p w:rsidR="00A556E8" w:rsidRPr="00A25833" w:rsidRDefault="00A556E8" w:rsidP="00A556E8">
      <w:pPr>
        <w:pStyle w:val="Standard"/>
        <w:numPr>
          <w:ilvl w:val="0"/>
          <w:numId w:val="6"/>
        </w:numPr>
        <w:ind w:left="0" w:firstLine="0"/>
        <w:jc w:val="both"/>
        <w:rPr>
          <w:rFonts w:ascii="Trebuchet MS" w:hAnsi="Trebuchet MS" w:cs="Times New Roman"/>
          <w:noProof/>
          <w:lang w:val="ro-RO"/>
        </w:rPr>
      </w:pPr>
      <w:r w:rsidRPr="00A25833">
        <w:rPr>
          <w:rFonts w:ascii="Trebuchet MS" w:eastAsia="Calibri" w:hAnsi="Trebuchet MS" w:cs="Times New Roman"/>
          <w:b/>
          <w:bCs/>
          <w:noProof/>
          <w:lang w:val="ro-RO" w:eastAsia="ro-RO"/>
        </w:rPr>
        <w:t>La articolul 17, după alineatul (2) se introduc</w:t>
      </w:r>
      <w:r w:rsidR="00D01E2C" w:rsidRPr="00A25833">
        <w:rPr>
          <w:rFonts w:ascii="Trebuchet MS" w:eastAsia="Calibri" w:hAnsi="Trebuchet MS" w:cs="Times New Roman"/>
          <w:b/>
          <w:bCs/>
          <w:noProof/>
          <w:lang w:val="ro-RO" w:eastAsia="ro-RO"/>
        </w:rPr>
        <w:t>e un nou alineat</w:t>
      </w:r>
      <w:r w:rsidRPr="00A25833">
        <w:rPr>
          <w:rFonts w:ascii="Trebuchet MS" w:eastAsia="Calibri" w:hAnsi="Trebuchet MS" w:cs="Times New Roman"/>
          <w:b/>
          <w:bCs/>
          <w:noProof/>
          <w:lang w:val="ro-RO" w:eastAsia="ro-RO"/>
        </w:rPr>
        <w:t>, alin.(2</w:t>
      </w:r>
      <w:r w:rsidRPr="00A25833">
        <w:rPr>
          <w:rFonts w:ascii="Trebuchet MS" w:eastAsia="Calibri" w:hAnsi="Trebuchet MS" w:cs="Times New Roman"/>
          <w:b/>
          <w:bCs/>
          <w:noProof/>
          <w:vertAlign w:val="superscript"/>
          <w:lang w:val="ro-RO" w:eastAsia="ro-RO"/>
        </w:rPr>
        <w:t>1</w:t>
      </w:r>
      <w:r w:rsidRPr="00A25833">
        <w:rPr>
          <w:rFonts w:ascii="Trebuchet MS" w:eastAsia="Calibri" w:hAnsi="Trebuchet MS" w:cs="Times New Roman"/>
          <w:b/>
          <w:bCs/>
          <w:noProof/>
          <w:lang w:val="ro-RO" w:eastAsia="ro-RO"/>
        </w:rPr>
        <w:t>), cu următorul cuprins:</w:t>
      </w:r>
    </w:p>
    <w:p w:rsidR="00D1016E" w:rsidRPr="00A25833" w:rsidRDefault="00A556E8" w:rsidP="00A556E8">
      <w:pPr>
        <w:pStyle w:val="Standard"/>
        <w:jc w:val="both"/>
        <w:rPr>
          <w:rFonts w:ascii="Trebuchet MS" w:hAnsi="Trebuchet MS" w:cs="Times New Roman"/>
          <w:noProof/>
          <w:lang w:val="ro-RO"/>
        </w:rPr>
      </w:pPr>
      <w:r w:rsidRPr="00A25833">
        <w:rPr>
          <w:rFonts w:ascii="Trebuchet MS" w:eastAsia="Calibri" w:hAnsi="Trebuchet MS" w:cs="Times New Roman"/>
          <w:noProof/>
          <w:lang w:val="ro-RO" w:eastAsia="ro-RO"/>
        </w:rPr>
        <w:t>”(2</w:t>
      </w:r>
      <w:r w:rsidRPr="00A25833">
        <w:rPr>
          <w:rFonts w:ascii="Trebuchet MS" w:eastAsia="Calibri" w:hAnsi="Trebuchet MS" w:cs="Times New Roman"/>
          <w:noProof/>
          <w:vertAlign w:val="superscript"/>
          <w:lang w:val="ro-RO" w:eastAsia="ro-RO"/>
        </w:rPr>
        <w:t>1</w:t>
      </w:r>
      <w:r w:rsidRPr="00A25833">
        <w:rPr>
          <w:rFonts w:ascii="Trebuchet MS" w:eastAsia="Calibri" w:hAnsi="Trebuchet MS" w:cs="Times New Roman"/>
          <w:noProof/>
          <w:lang w:val="ro-RO" w:eastAsia="ro-RO"/>
        </w:rPr>
        <w:t>) Personalul prevăzut la art.5 alin.(1) din O.U.G. nr.155/2020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 beneficiază de majorarea salariului de bază, soldei de funcţie/salariului de funcţie, indemnizaţiei de încadrare cu până la 50%.</w:t>
      </w:r>
      <w:r w:rsidR="00D01E2C" w:rsidRPr="00A25833">
        <w:rPr>
          <w:rFonts w:ascii="Trebuchet MS" w:eastAsia="Calibri" w:hAnsi="Trebuchet MS" w:cs="Times New Roman"/>
          <w:noProof/>
          <w:lang w:val="ro-RO" w:eastAsia="ro-RO"/>
        </w:rPr>
        <w:t>”</w:t>
      </w:r>
    </w:p>
    <w:p w:rsidR="00D1016E" w:rsidRPr="00A25833" w:rsidRDefault="00D1016E" w:rsidP="00A556E8">
      <w:pPr>
        <w:pStyle w:val="Standard"/>
        <w:jc w:val="both"/>
        <w:rPr>
          <w:rFonts w:ascii="Trebuchet MS" w:hAnsi="Trebuchet MS" w:cs="Times New Roman"/>
          <w:noProof/>
          <w:lang w:val="ro-RO"/>
        </w:rPr>
      </w:pPr>
    </w:p>
    <w:p w:rsidR="00D1016E" w:rsidRPr="00A25833" w:rsidRDefault="00D1016E" w:rsidP="00A556E8">
      <w:pPr>
        <w:pStyle w:val="Standard"/>
        <w:jc w:val="both"/>
        <w:rPr>
          <w:rFonts w:ascii="Trebuchet MS" w:hAnsi="Trebuchet MS" w:cs="Times New Roman"/>
          <w:noProof/>
          <w:lang w:val="ro-RO"/>
        </w:rPr>
      </w:pPr>
    </w:p>
    <w:p w:rsidR="00A556E8" w:rsidRPr="00A25833" w:rsidRDefault="00A556E8" w:rsidP="00A556E8">
      <w:pPr>
        <w:pStyle w:val="Standard"/>
        <w:numPr>
          <w:ilvl w:val="0"/>
          <w:numId w:val="6"/>
        </w:numPr>
        <w:ind w:left="0" w:firstLine="0"/>
        <w:jc w:val="both"/>
        <w:rPr>
          <w:rFonts w:ascii="Trebuchet MS" w:eastAsia="Calibri" w:hAnsi="Trebuchet MS" w:cs="Times New Roman"/>
          <w:b/>
          <w:bCs/>
          <w:noProof/>
          <w:lang w:val="ro-RO" w:eastAsia="ro-RO"/>
        </w:rPr>
      </w:pPr>
      <w:r w:rsidRPr="00A25833">
        <w:rPr>
          <w:rFonts w:ascii="Trebuchet MS" w:eastAsia="Calibri" w:hAnsi="Trebuchet MS" w:cs="Times New Roman"/>
          <w:b/>
          <w:bCs/>
          <w:noProof/>
          <w:lang w:val="ro-RO" w:eastAsia="ro-RO"/>
        </w:rPr>
        <w:t xml:space="preserve">La articolul 17, alineatele (3) </w:t>
      </w:r>
      <w:r w:rsidR="00327186" w:rsidRPr="00A25833">
        <w:rPr>
          <w:rFonts w:ascii="Trebuchet MS" w:eastAsia="Calibri" w:hAnsi="Trebuchet MS" w:cs="Times New Roman"/>
          <w:b/>
          <w:bCs/>
          <w:noProof/>
          <w:lang w:val="ro-RO" w:eastAsia="ro-RO"/>
        </w:rPr>
        <w:t>și</w:t>
      </w:r>
      <w:r w:rsidR="00007748" w:rsidRPr="00A25833">
        <w:rPr>
          <w:rFonts w:ascii="Trebuchet MS" w:eastAsia="Calibri" w:hAnsi="Trebuchet MS" w:cs="Times New Roman"/>
          <w:b/>
          <w:bCs/>
          <w:noProof/>
          <w:lang w:val="ro-RO" w:eastAsia="ro-RO"/>
        </w:rPr>
        <w:t xml:space="preserve"> </w:t>
      </w:r>
      <w:r w:rsidRPr="00A25833">
        <w:rPr>
          <w:rFonts w:ascii="Trebuchet MS" w:eastAsia="Calibri" w:hAnsi="Trebuchet MS" w:cs="Times New Roman"/>
          <w:b/>
          <w:bCs/>
          <w:noProof/>
          <w:lang w:val="ro-RO" w:eastAsia="ro-RO"/>
        </w:rPr>
        <w:t>(5) se modifică și vor avea următorul cuprins:</w:t>
      </w:r>
    </w:p>
    <w:p w:rsidR="00A556E8" w:rsidRPr="00A25833" w:rsidRDefault="00A556E8" w:rsidP="00A556E8">
      <w:pPr>
        <w:pStyle w:val="Standard"/>
        <w:jc w:val="both"/>
        <w:rPr>
          <w:rFonts w:ascii="Trebuchet MS" w:eastAsia="Calibri" w:hAnsi="Trebuchet MS" w:cs="Times New Roman"/>
          <w:noProof/>
          <w:lang w:val="ro-RO" w:eastAsia="ro-RO"/>
        </w:rPr>
      </w:pPr>
      <w:r w:rsidRPr="00A25833">
        <w:rPr>
          <w:rFonts w:ascii="Trebuchet MS" w:eastAsia="Calibri" w:hAnsi="Trebuchet MS" w:cs="Times New Roman"/>
          <w:noProof/>
          <w:lang w:val="ro-RO" w:eastAsia="ro-RO"/>
        </w:rPr>
        <w:t>”(3) Majora</w:t>
      </w:r>
      <w:r w:rsidR="00D01E2C" w:rsidRPr="00A25833">
        <w:rPr>
          <w:rFonts w:ascii="Trebuchet MS" w:eastAsia="Calibri" w:hAnsi="Trebuchet MS" w:cs="Times New Roman"/>
          <w:noProof/>
          <w:lang w:val="ro-RO" w:eastAsia="ro-RO"/>
        </w:rPr>
        <w:t>rea prevăzută la alin. (1), (2) și</w:t>
      </w:r>
      <w:r w:rsidRPr="00A25833">
        <w:rPr>
          <w:rFonts w:ascii="Trebuchet MS" w:eastAsia="Calibri" w:hAnsi="Trebuchet MS" w:cs="Times New Roman"/>
          <w:noProof/>
          <w:lang w:val="ro-RO" w:eastAsia="ro-RO"/>
        </w:rPr>
        <w:t xml:space="preserve"> (2</w:t>
      </w:r>
      <w:r w:rsidRPr="00A25833">
        <w:rPr>
          <w:rFonts w:ascii="Trebuchet MS" w:eastAsia="Calibri" w:hAnsi="Trebuchet MS" w:cs="Times New Roman"/>
          <w:noProof/>
          <w:vertAlign w:val="superscript"/>
          <w:lang w:val="ro-RO" w:eastAsia="ro-RO"/>
        </w:rPr>
        <w:t>1</w:t>
      </w:r>
      <w:r w:rsidRPr="00A25833">
        <w:rPr>
          <w:rFonts w:ascii="Trebuchet MS" w:eastAsia="Calibri" w:hAnsi="Trebuchet MS" w:cs="Times New Roman"/>
          <w:noProof/>
          <w:lang w:val="ro-RO" w:eastAsia="ro-RO"/>
        </w:rPr>
        <w:t>) se acordă în baza criteriilor stabilite prin hotărâre a Guvernului iniţiată de către Ministerul Investițiilor și Proiectelor Europene.</w:t>
      </w:r>
    </w:p>
    <w:p w:rsidR="00007748" w:rsidRPr="00A25833" w:rsidRDefault="00327186" w:rsidP="00007748">
      <w:pPr>
        <w:autoSpaceDE w:val="0"/>
        <w:autoSpaceDN w:val="0"/>
        <w:adjustRightInd w:val="0"/>
        <w:spacing w:after="0" w:line="240" w:lineRule="auto"/>
        <w:ind w:left="0"/>
        <w:rPr>
          <w:sz w:val="24"/>
          <w:szCs w:val="24"/>
        </w:rPr>
      </w:pPr>
      <w:r w:rsidRPr="00A25833">
        <w:rPr>
          <w:sz w:val="24"/>
          <w:szCs w:val="24"/>
        </w:rPr>
        <w:t xml:space="preserve"> </w:t>
      </w:r>
      <w:r w:rsidR="00007748" w:rsidRPr="00A25833">
        <w:rPr>
          <w:sz w:val="24"/>
          <w:szCs w:val="24"/>
        </w:rPr>
        <w:t xml:space="preserve">(5) Majorarea salariului de bază, soldei de funcţie/salariului de funcţie, indemnizaţiei de încadrare prevăzută la alin. (1), (2) </w:t>
      </w:r>
      <w:r w:rsidR="00D01E2C" w:rsidRPr="00A25833">
        <w:rPr>
          <w:sz w:val="24"/>
          <w:szCs w:val="24"/>
        </w:rPr>
        <w:t xml:space="preserve">și </w:t>
      </w:r>
      <w:r w:rsidR="00007748" w:rsidRPr="00A25833">
        <w:rPr>
          <w:sz w:val="24"/>
          <w:szCs w:val="24"/>
        </w:rPr>
        <w:t>(2</w:t>
      </w:r>
      <w:r w:rsidR="00007748" w:rsidRPr="00A25833">
        <w:rPr>
          <w:sz w:val="24"/>
          <w:szCs w:val="24"/>
          <w:vertAlign w:val="superscript"/>
        </w:rPr>
        <w:t>1</w:t>
      </w:r>
      <w:r w:rsidR="00007748" w:rsidRPr="00A25833">
        <w:rPr>
          <w:sz w:val="24"/>
          <w:szCs w:val="24"/>
        </w:rPr>
        <w:t>) se acordă numai în perioada cât persoana îşi desfăşoară activitatea în condiţiile prevăzute la alin.(1)</w:t>
      </w:r>
      <w:r w:rsidR="00D01E2C" w:rsidRPr="00A25833">
        <w:rPr>
          <w:sz w:val="24"/>
          <w:szCs w:val="24"/>
        </w:rPr>
        <w:t>, (2)</w:t>
      </w:r>
      <w:r w:rsidR="00007748" w:rsidRPr="00A25833">
        <w:rPr>
          <w:sz w:val="24"/>
          <w:szCs w:val="24"/>
        </w:rPr>
        <w:t xml:space="preserve"> </w:t>
      </w:r>
      <w:r w:rsidR="00D01E2C" w:rsidRPr="00A25833">
        <w:rPr>
          <w:sz w:val="24"/>
          <w:szCs w:val="24"/>
        </w:rPr>
        <w:t xml:space="preserve">şi </w:t>
      </w:r>
      <w:r w:rsidR="00007748" w:rsidRPr="00A25833">
        <w:rPr>
          <w:sz w:val="24"/>
          <w:szCs w:val="24"/>
        </w:rPr>
        <w:t>(2</w:t>
      </w:r>
      <w:r w:rsidR="00007748" w:rsidRPr="00A25833">
        <w:rPr>
          <w:sz w:val="24"/>
          <w:szCs w:val="24"/>
          <w:vertAlign w:val="superscript"/>
        </w:rPr>
        <w:t>1</w:t>
      </w:r>
      <w:r w:rsidR="00007748" w:rsidRPr="00A25833">
        <w:rPr>
          <w:sz w:val="24"/>
          <w:szCs w:val="24"/>
        </w:rPr>
        <w:t>).</w:t>
      </w:r>
      <w:r w:rsidR="005B04BF" w:rsidRPr="00A25833">
        <w:rPr>
          <w:sz w:val="24"/>
          <w:szCs w:val="24"/>
        </w:rPr>
        <w:t xml:space="preserve"> Majorarea prevăzută la alin.(2</w:t>
      </w:r>
      <w:r w:rsidR="005B04BF" w:rsidRPr="00A25833">
        <w:rPr>
          <w:sz w:val="24"/>
          <w:szCs w:val="24"/>
          <w:vertAlign w:val="superscript"/>
        </w:rPr>
        <w:t>1</w:t>
      </w:r>
      <w:r w:rsidR="005B04BF" w:rsidRPr="00A25833">
        <w:rPr>
          <w:sz w:val="24"/>
          <w:szCs w:val="24"/>
        </w:rPr>
        <w:t>) nu poate depăși, cumulată cu majorăril</w:t>
      </w:r>
      <w:r w:rsidR="00570B3C" w:rsidRPr="00A25833">
        <w:rPr>
          <w:sz w:val="24"/>
          <w:szCs w:val="24"/>
        </w:rPr>
        <w:t>e prevăzute la alin.(1),</w:t>
      </w:r>
      <w:r w:rsidR="003E7EDC" w:rsidRPr="00A25833">
        <w:rPr>
          <w:sz w:val="24"/>
          <w:szCs w:val="24"/>
        </w:rPr>
        <w:t>(2)</w:t>
      </w:r>
      <w:r w:rsidR="00570B3C" w:rsidRPr="00A25833">
        <w:rPr>
          <w:sz w:val="24"/>
          <w:szCs w:val="24"/>
        </w:rPr>
        <w:t xml:space="preserve"> și (4)</w:t>
      </w:r>
      <w:r w:rsidR="00FF470E" w:rsidRPr="00A25833">
        <w:rPr>
          <w:sz w:val="24"/>
          <w:szCs w:val="24"/>
        </w:rPr>
        <w:t>, după caz,</w:t>
      </w:r>
      <w:r w:rsidR="003E7EDC" w:rsidRPr="00A25833">
        <w:rPr>
          <w:sz w:val="24"/>
          <w:szCs w:val="24"/>
        </w:rPr>
        <w:t xml:space="preserve"> </w:t>
      </w:r>
      <w:r w:rsidR="005B04BF" w:rsidRPr="00A25833">
        <w:rPr>
          <w:sz w:val="24"/>
          <w:szCs w:val="24"/>
        </w:rPr>
        <w:t>procentul maxim de 50% din salariul de bază, solda de funcție/salariul de funcție, indemnizația de încadrare.</w:t>
      </w:r>
      <w:r w:rsidR="00007748" w:rsidRPr="00A25833">
        <w:rPr>
          <w:sz w:val="24"/>
          <w:szCs w:val="24"/>
        </w:rPr>
        <w:t>”</w:t>
      </w:r>
      <w:r w:rsidR="005B04BF" w:rsidRPr="00A25833">
        <w:rPr>
          <w:sz w:val="24"/>
          <w:szCs w:val="24"/>
        </w:rPr>
        <w:t>.</w:t>
      </w:r>
    </w:p>
    <w:p w:rsidR="00C64692" w:rsidRPr="00A25833" w:rsidRDefault="00C64692" w:rsidP="00C64692">
      <w:pPr>
        <w:pStyle w:val="Standard"/>
        <w:ind w:left="360"/>
        <w:jc w:val="both"/>
        <w:rPr>
          <w:rFonts w:ascii="Trebuchet MS" w:hAnsi="Trebuchet MS" w:cs="Times New Roman"/>
          <w:noProof/>
          <w:lang w:val="ro-RO"/>
        </w:rPr>
      </w:pPr>
    </w:p>
    <w:p w:rsidR="00C64692" w:rsidRPr="00A25833" w:rsidRDefault="00C64692" w:rsidP="00C64692">
      <w:pPr>
        <w:pStyle w:val="Standard"/>
        <w:numPr>
          <w:ilvl w:val="0"/>
          <w:numId w:val="6"/>
        </w:numPr>
        <w:jc w:val="both"/>
        <w:rPr>
          <w:rFonts w:ascii="Trebuchet MS" w:hAnsi="Trebuchet MS" w:cs="Times New Roman"/>
          <w:noProof/>
          <w:lang w:val="ro-RO"/>
        </w:rPr>
      </w:pPr>
      <w:r w:rsidRPr="00A25833">
        <w:rPr>
          <w:rFonts w:ascii="Trebuchet MS" w:eastAsia="Calibri" w:hAnsi="Trebuchet MS" w:cs="Times New Roman"/>
          <w:b/>
          <w:bCs/>
          <w:noProof/>
          <w:lang w:val="ro-RO" w:eastAsia="ro-RO"/>
        </w:rPr>
        <w:t>La articolul 17, după alineatul (5) se introduce un nou alineat, alin.(6), cu următorul cuprins:</w:t>
      </w:r>
    </w:p>
    <w:p w:rsidR="00C64692" w:rsidRPr="00A25833" w:rsidRDefault="00C64692" w:rsidP="00C64692">
      <w:pPr>
        <w:autoSpaceDE w:val="0"/>
        <w:autoSpaceDN w:val="0"/>
        <w:adjustRightInd w:val="0"/>
        <w:spacing w:after="0" w:line="240" w:lineRule="auto"/>
        <w:ind w:left="0"/>
        <w:rPr>
          <w:rFonts w:eastAsia="Calibri"/>
          <w:b/>
          <w:bCs/>
          <w:lang w:eastAsia="ro-RO"/>
        </w:rPr>
      </w:pPr>
    </w:p>
    <w:p w:rsidR="00C64692" w:rsidRPr="00A25833" w:rsidRDefault="00C64692" w:rsidP="00C64692">
      <w:pPr>
        <w:autoSpaceDE w:val="0"/>
        <w:autoSpaceDN w:val="0"/>
        <w:adjustRightInd w:val="0"/>
        <w:spacing w:after="0" w:line="240" w:lineRule="auto"/>
        <w:ind w:left="0"/>
        <w:rPr>
          <w:sz w:val="24"/>
          <w:szCs w:val="24"/>
        </w:rPr>
      </w:pPr>
      <w:r w:rsidRPr="00A25833">
        <w:rPr>
          <w:rFonts w:eastAsia="Calibri"/>
          <w:b/>
          <w:bCs/>
          <w:lang w:val="en-US" w:eastAsia="ro-RO"/>
        </w:rPr>
        <w:t>“</w:t>
      </w:r>
      <w:r w:rsidRPr="00A25833">
        <w:rPr>
          <w:rFonts w:eastAsia="Calibri"/>
          <w:b/>
          <w:bCs/>
          <w:lang w:eastAsia="ro-RO"/>
        </w:rPr>
        <w:t xml:space="preserve">(6) </w:t>
      </w:r>
      <w:r w:rsidRPr="00A25833">
        <w:rPr>
          <w:sz w:val="24"/>
          <w:szCs w:val="24"/>
        </w:rPr>
        <w:t>Majorarea prevăzută la art.16 alin.(1) nu poate depăși, cumulată cu majorarea prevăzută la alin.(4), procentul maxim de 50% din salariul de bază.”.</w:t>
      </w:r>
    </w:p>
    <w:p w:rsidR="00007748" w:rsidRPr="00A25833" w:rsidRDefault="00007748" w:rsidP="00A556E8">
      <w:pPr>
        <w:pStyle w:val="Standard"/>
        <w:jc w:val="both"/>
        <w:rPr>
          <w:rFonts w:ascii="Trebuchet MS" w:eastAsia="Calibri" w:hAnsi="Trebuchet MS" w:cs="Times New Roman"/>
          <w:b/>
          <w:bCs/>
          <w:noProof/>
          <w:lang w:val="ro-RO" w:eastAsia="ro-RO"/>
        </w:rPr>
      </w:pPr>
    </w:p>
    <w:p w:rsidR="00C64692" w:rsidRPr="00A25833" w:rsidRDefault="00C64692" w:rsidP="00A556E8">
      <w:pPr>
        <w:pStyle w:val="Standard"/>
        <w:jc w:val="both"/>
        <w:rPr>
          <w:rFonts w:ascii="Trebuchet MS" w:eastAsia="Calibri" w:hAnsi="Trebuchet MS" w:cs="Times New Roman"/>
          <w:b/>
          <w:bCs/>
          <w:noProof/>
          <w:lang w:val="ro-RO" w:eastAsia="ro-RO"/>
        </w:rPr>
      </w:pPr>
    </w:p>
    <w:p w:rsidR="00525179" w:rsidRPr="00A25833" w:rsidRDefault="00C64692" w:rsidP="003A3173">
      <w:pPr>
        <w:pStyle w:val="Standard"/>
        <w:jc w:val="both"/>
        <w:rPr>
          <w:rFonts w:ascii="Trebuchet MS" w:hAnsi="Trebuchet MS" w:cs="Times New Roman"/>
          <w:noProof/>
          <w:lang w:val="ro-RO"/>
        </w:rPr>
      </w:pPr>
      <w:r w:rsidRPr="00A25833">
        <w:rPr>
          <w:rFonts w:ascii="Trebuchet MS" w:hAnsi="Trebuchet MS"/>
          <w:b/>
          <w:bCs/>
          <w:noProof/>
          <w:lang w:val="ro-RO"/>
        </w:rPr>
        <w:t>5</w:t>
      </w:r>
      <w:r w:rsidR="00525179" w:rsidRPr="00A25833">
        <w:rPr>
          <w:rFonts w:ascii="Trebuchet MS" w:hAnsi="Trebuchet MS"/>
          <w:b/>
          <w:bCs/>
          <w:noProof/>
          <w:lang w:val="ro-RO"/>
        </w:rPr>
        <w:t xml:space="preserve">. </w:t>
      </w:r>
      <w:r w:rsidR="00525179" w:rsidRPr="00A25833">
        <w:rPr>
          <w:rFonts w:ascii="Trebuchet MS" w:eastAsia="Calibri" w:hAnsi="Trebuchet MS" w:cs="Times New Roman"/>
          <w:b/>
          <w:bCs/>
          <w:noProof/>
          <w:lang w:val="ro-RO" w:eastAsia="ro-RO"/>
        </w:rPr>
        <w:t>La articolul 38, după alineatul (4</w:t>
      </w:r>
      <w:r w:rsidR="00F131EF" w:rsidRPr="00A25833">
        <w:rPr>
          <w:rFonts w:ascii="Trebuchet MS" w:eastAsia="Calibri" w:hAnsi="Trebuchet MS" w:cs="Times New Roman"/>
          <w:b/>
          <w:bCs/>
          <w:noProof/>
          <w:vertAlign w:val="superscript"/>
          <w:lang w:val="ro-RO" w:eastAsia="ro-RO"/>
        </w:rPr>
        <w:t>4</w:t>
      </w:r>
      <w:r w:rsidR="00525179" w:rsidRPr="00A25833">
        <w:rPr>
          <w:rFonts w:ascii="Trebuchet MS" w:eastAsia="Calibri" w:hAnsi="Trebuchet MS" w:cs="Times New Roman"/>
          <w:b/>
          <w:bCs/>
          <w:noProof/>
          <w:lang w:val="ro-RO" w:eastAsia="ro-RO"/>
        </w:rPr>
        <w:t>) se introduce un nou alineat</w:t>
      </w:r>
      <w:r w:rsidR="00F131EF" w:rsidRPr="00A25833">
        <w:rPr>
          <w:rFonts w:ascii="Trebuchet MS" w:eastAsia="Calibri" w:hAnsi="Trebuchet MS" w:cs="Times New Roman"/>
          <w:b/>
          <w:bCs/>
          <w:noProof/>
          <w:lang w:val="ro-RO" w:eastAsia="ro-RO"/>
        </w:rPr>
        <w:t>, alin.(4</w:t>
      </w:r>
      <w:r w:rsidR="00F131EF" w:rsidRPr="00A25833">
        <w:rPr>
          <w:rFonts w:ascii="Trebuchet MS" w:eastAsia="Calibri" w:hAnsi="Trebuchet MS" w:cs="Times New Roman"/>
          <w:b/>
          <w:bCs/>
          <w:noProof/>
          <w:vertAlign w:val="superscript"/>
          <w:lang w:val="ro-RO" w:eastAsia="ro-RO"/>
        </w:rPr>
        <w:t>5</w:t>
      </w:r>
      <w:r w:rsidR="00525179" w:rsidRPr="00A25833">
        <w:rPr>
          <w:rFonts w:ascii="Trebuchet MS" w:eastAsia="Calibri" w:hAnsi="Trebuchet MS" w:cs="Times New Roman"/>
          <w:b/>
          <w:bCs/>
          <w:noProof/>
          <w:lang w:val="ro-RO" w:eastAsia="ro-RO"/>
        </w:rPr>
        <w:t>), cu următorul cuprins:</w:t>
      </w:r>
    </w:p>
    <w:p w:rsidR="00F131EF" w:rsidRPr="00A25833" w:rsidRDefault="00F131EF" w:rsidP="00F131EF">
      <w:pPr>
        <w:pStyle w:val="Standard"/>
        <w:jc w:val="both"/>
        <w:rPr>
          <w:rFonts w:ascii="Trebuchet MS" w:eastAsia="Calibri" w:hAnsi="Trebuchet MS" w:cs="Times New Roman"/>
          <w:noProof/>
          <w:lang w:val="ro-RO" w:eastAsia="ro-RO"/>
        </w:rPr>
      </w:pPr>
    </w:p>
    <w:p w:rsidR="00F131EF" w:rsidRPr="00A25833" w:rsidRDefault="00F131EF" w:rsidP="00F131EF">
      <w:pPr>
        <w:pStyle w:val="Standard"/>
        <w:jc w:val="both"/>
        <w:rPr>
          <w:rFonts w:ascii="Trebuchet MS" w:eastAsia="Calibri" w:hAnsi="Trebuchet MS" w:cs="Times New Roman"/>
          <w:noProof/>
          <w:lang w:val="ro-RO" w:eastAsia="ro-RO"/>
        </w:rPr>
      </w:pPr>
      <w:r w:rsidRPr="00A25833">
        <w:rPr>
          <w:rFonts w:ascii="Trebuchet MS" w:eastAsia="Calibri" w:hAnsi="Trebuchet MS" w:cs="Times New Roman"/>
          <w:noProof/>
          <w:lang w:val="ro-RO" w:eastAsia="ro-RO"/>
        </w:rPr>
        <w:t>”(</w:t>
      </w:r>
      <w:r w:rsidRPr="00A25833">
        <w:rPr>
          <w:rFonts w:ascii="Trebuchet MS" w:eastAsia="Calibri" w:hAnsi="Trebuchet MS" w:cs="Times New Roman"/>
          <w:bCs/>
          <w:noProof/>
          <w:lang w:val="ro-RO" w:eastAsia="ro-RO"/>
        </w:rPr>
        <w:t>4</w:t>
      </w:r>
      <w:r w:rsidRPr="00A25833">
        <w:rPr>
          <w:rFonts w:ascii="Trebuchet MS" w:eastAsia="Calibri" w:hAnsi="Trebuchet MS" w:cs="Times New Roman"/>
          <w:bCs/>
          <w:noProof/>
          <w:vertAlign w:val="superscript"/>
          <w:lang w:val="ro-RO" w:eastAsia="ro-RO"/>
        </w:rPr>
        <w:t>5</w:t>
      </w:r>
      <w:r w:rsidRPr="00A25833">
        <w:rPr>
          <w:rFonts w:ascii="Trebuchet MS" w:eastAsia="Calibri" w:hAnsi="Trebuchet MS" w:cs="Times New Roman"/>
          <w:bCs/>
          <w:noProof/>
          <w:lang w:val="ro-RO" w:eastAsia="ro-RO"/>
        </w:rPr>
        <w:t>) P</w:t>
      </w:r>
      <w:r w:rsidRPr="00A25833">
        <w:rPr>
          <w:rFonts w:ascii="Trebuchet MS" w:eastAsia="Calibri" w:hAnsi="Trebuchet MS" w:cs="Times New Roman"/>
          <w:noProof/>
          <w:lang w:val="ro-RO" w:eastAsia="ro-RO"/>
        </w:rPr>
        <w:t xml:space="preserve">rin excepţie de la prevederile alin. (4), personalul din cadrul Institutului Național de Statistică precum și din cadrul direcțiilor regionale și județene de </w:t>
      </w:r>
      <w:r w:rsidRPr="00A25833">
        <w:rPr>
          <w:rFonts w:ascii="Trebuchet MS" w:eastAsia="Calibri" w:hAnsi="Trebuchet MS" w:cs="Times New Roman"/>
          <w:noProof/>
          <w:lang w:val="ro-RO" w:eastAsia="ro-RO"/>
        </w:rPr>
        <w:lastRenderedPageBreak/>
        <w:t>statistică beneficiază, începând cu luna august 2022, de salariile de bază prevăzute de lege pentru anul 2022.</w:t>
      </w:r>
      <w:r w:rsidR="00AC62A3" w:rsidRPr="00A25833">
        <w:rPr>
          <w:rFonts w:ascii="Trebuchet MS" w:eastAsia="Calibri" w:hAnsi="Trebuchet MS" w:cs="Times New Roman"/>
          <w:noProof/>
          <w:lang w:val="ro-RO" w:eastAsia="ro-RO"/>
        </w:rPr>
        <w:t>”</w:t>
      </w:r>
    </w:p>
    <w:p w:rsidR="00535640" w:rsidRPr="00A25833" w:rsidRDefault="00535640" w:rsidP="00535640">
      <w:pPr>
        <w:pStyle w:val="Default"/>
        <w:jc w:val="both"/>
        <w:rPr>
          <w:rFonts w:ascii="Trebuchet MS" w:hAnsi="Trebuchet MS"/>
          <w:b/>
          <w:bCs/>
          <w:noProof/>
          <w:color w:val="auto"/>
          <w:lang w:val="ro-RO"/>
        </w:rPr>
      </w:pPr>
    </w:p>
    <w:p w:rsidR="00535640" w:rsidRPr="00A25833" w:rsidRDefault="00535640" w:rsidP="00535640">
      <w:pPr>
        <w:pStyle w:val="Default"/>
        <w:jc w:val="both"/>
        <w:rPr>
          <w:rFonts w:ascii="Trebuchet MS" w:hAnsi="Trebuchet MS"/>
          <w:noProof/>
          <w:color w:val="auto"/>
          <w:lang w:val="ro-RO"/>
        </w:rPr>
      </w:pPr>
      <w:r w:rsidRPr="00A25833">
        <w:rPr>
          <w:rFonts w:ascii="Trebuchet MS" w:hAnsi="Trebuchet MS"/>
          <w:b/>
          <w:bCs/>
          <w:noProof/>
          <w:color w:val="auto"/>
          <w:lang w:val="ro-RO"/>
        </w:rPr>
        <w:t xml:space="preserve">6. La anexa nr. VIII, Capitolul I, litera A, punctul I, Nota de la litera c) </w:t>
      </w:r>
      <w:r w:rsidR="0086561A" w:rsidRPr="00A25833">
        <w:rPr>
          <w:rFonts w:ascii="Trebuchet MS" w:hAnsi="Trebuchet MS"/>
          <w:b/>
          <w:bCs/>
          <w:noProof/>
          <w:color w:val="auto"/>
          <w:lang w:val="ro-RO"/>
        </w:rPr>
        <w:t>paragraful 2</w:t>
      </w:r>
      <w:r w:rsidRPr="00A25833">
        <w:rPr>
          <w:rFonts w:ascii="Trebuchet MS" w:hAnsi="Trebuchet MS"/>
          <w:b/>
          <w:bCs/>
          <w:noProof/>
          <w:color w:val="auto"/>
          <w:lang w:val="ro-RO"/>
        </w:rPr>
        <w:t xml:space="preserve"> </w:t>
      </w:r>
      <w:r w:rsidR="0086561A" w:rsidRPr="00A25833">
        <w:rPr>
          <w:rFonts w:ascii="Trebuchet MS" w:hAnsi="Trebuchet MS"/>
          <w:b/>
          <w:bCs/>
          <w:noProof/>
          <w:color w:val="auto"/>
          <w:lang w:val="ro-RO"/>
        </w:rPr>
        <w:t>completează după cum urmează</w:t>
      </w:r>
      <w:r w:rsidRPr="00A25833">
        <w:rPr>
          <w:rFonts w:ascii="Trebuchet MS" w:hAnsi="Trebuchet MS"/>
          <w:b/>
          <w:bCs/>
          <w:noProof/>
          <w:color w:val="auto"/>
          <w:lang w:val="ro-RO"/>
        </w:rPr>
        <w:t xml:space="preserve">: </w:t>
      </w:r>
    </w:p>
    <w:p w:rsidR="00535640" w:rsidRPr="00A25833" w:rsidRDefault="00535640" w:rsidP="0086561A">
      <w:pPr>
        <w:pStyle w:val="Default"/>
        <w:jc w:val="both"/>
        <w:rPr>
          <w:rFonts w:ascii="Trebuchet MS" w:hAnsi="Trebuchet MS"/>
          <w:noProof/>
          <w:color w:val="auto"/>
          <w:lang w:val="ro-RO"/>
        </w:rPr>
      </w:pPr>
      <w:r w:rsidRPr="00A25833">
        <w:rPr>
          <w:rFonts w:ascii="Trebuchet MS" w:hAnsi="Trebuchet MS"/>
          <w:noProof/>
          <w:color w:val="auto"/>
          <w:lang w:val="ro-RO"/>
        </w:rPr>
        <w:t>„</w:t>
      </w:r>
      <w:proofErr w:type="spellStart"/>
      <w:r w:rsidRPr="00A25833">
        <w:rPr>
          <w:rFonts w:ascii="Trebuchet MS" w:hAnsi="Trebuchet MS"/>
          <w:color w:val="auto"/>
        </w:rPr>
        <w:t>Salariul</w:t>
      </w:r>
      <w:proofErr w:type="spellEnd"/>
      <w:r w:rsidRPr="00A25833">
        <w:rPr>
          <w:rFonts w:ascii="Trebuchet MS" w:hAnsi="Trebuchet MS"/>
          <w:color w:val="auto"/>
        </w:rPr>
        <w:t xml:space="preserve"> de </w:t>
      </w:r>
      <w:proofErr w:type="spellStart"/>
      <w:r w:rsidRPr="00A25833">
        <w:rPr>
          <w:rFonts w:ascii="Trebuchet MS" w:hAnsi="Trebuchet MS"/>
          <w:color w:val="auto"/>
        </w:rPr>
        <w:t>bază</w:t>
      </w:r>
      <w:proofErr w:type="spellEnd"/>
      <w:r w:rsidRPr="00A25833">
        <w:rPr>
          <w:rFonts w:ascii="Trebuchet MS" w:hAnsi="Trebuchet MS"/>
          <w:color w:val="auto"/>
        </w:rPr>
        <w:t xml:space="preserve"> de la nr. crt. 6 se aplică şi funcţiei de şef birou – personal contractual din cadrul aparatului de lucru al Parlamentului, precum şi funcţiei de consilier care exercită atribuţii de coordonator pe perioadă determinată, stabilită prin hotărâre a Biroului permanent al Senatului </w:t>
      </w:r>
      <w:r w:rsidRPr="00A25833">
        <w:rPr>
          <w:rFonts w:ascii="Trebuchet MS" w:eastAsia="Calibri" w:hAnsi="Trebuchet MS"/>
          <w:noProof/>
          <w:color w:val="auto"/>
          <w:kern w:val="3"/>
          <w:lang w:val="ro-RO" w:eastAsia="ro-RO" w:bidi="hi-IN"/>
        </w:rPr>
        <w:t>sau</w:t>
      </w:r>
      <w:r w:rsidRPr="00A25833">
        <w:rPr>
          <w:rFonts w:ascii="Trebuchet MS" w:hAnsi="Trebuchet MS"/>
          <w:color w:val="auto"/>
        </w:rPr>
        <w:t xml:space="preserve"> al Camerei Deputaţilor, după caz.”.</w:t>
      </w:r>
    </w:p>
    <w:p w:rsidR="00F131EF" w:rsidRPr="00A25833" w:rsidRDefault="00F131EF" w:rsidP="00F131EF">
      <w:pPr>
        <w:pStyle w:val="Standard"/>
        <w:jc w:val="both"/>
        <w:rPr>
          <w:rFonts w:ascii="Trebuchet MS" w:hAnsi="Trebuchet MS" w:cs="Times New Roman"/>
          <w:noProof/>
        </w:rPr>
      </w:pPr>
    </w:p>
    <w:p w:rsidR="006E062F" w:rsidRPr="00A25833" w:rsidRDefault="00535640" w:rsidP="006E062F">
      <w:pPr>
        <w:pStyle w:val="Default"/>
        <w:jc w:val="both"/>
        <w:rPr>
          <w:rFonts w:ascii="Trebuchet MS" w:hAnsi="Trebuchet MS"/>
          <w:noProof/>
          <w:color w:val="auto"/>
          <w:lang w:val="ro-RO"/>
        </w:rPr>
      </w:pPr>
      <w:r w:rsidRPr="00A25833">
        <w:rPr>
          <w:rFonts w:ascii="Trebuchet MS" w:hAnsi="Trebuchet MS"/>
          <w:b/>
          <w:bCs/>
          <w:noProof/>
          <w:color w:val="auto"/>
          <w:lang w:val="ro-RO"/>
        </w:rPr>
        <w:t>7</w:t>
      </w:r>
      <w:r w:rsidR="0051493C" w:rsidRPr="00A25833">
        <w:rPr>
          <w:rFonts w:ascii="Trebuchet MS" w:hAnsi="Trebuchet MS"/>
          <w:b/>
          <w:bCs/>
          <w:noProof/>
          <w:color w:val="auto"/>
          <w:lang w:val="ro-RO"/>
        </w:rPr>
        <w:t xml:space="preserve">. </w:t>
      </w:r>
      <w:r w:rsidR="006E062F" w:rsidRPr="00A25833">
        <w:rPr>
          <w:rFonts w:ascii="Trebuchet MS" w:hAnsi="Trebuchet MS"/>
          <w:b/>
          <w:bCs/>
          <w:noProof/>
          <w:color w:val="auto"/>
          <w:lang w:val="ro-RO"/>
        </w:rPr>
        <w:t xml:space="preserve">La anexa nr. VIII, Capitolul I, litera A, punctul I, punctul 3 de la Notă se modifică și va avea următorul cuprins: </w:t>
      </w:r>
    </w:p>
    <w:p w:rsidR="006E062F" w:rsidRPr="00A25833" w:rsidRDefault="006E062F" w:rsidP="006E062F">
      <w:pPr>
        <w:pStyle w:val="Default"/>
        <w:jc w:val="both"/>
        <w:rPr>
          <w:rFonts w:ascii="Trebuchet MS" w:hAnsi="Trebuchet MS"/>
          <w:noProof/>
          <w:color w:val="auto"/>
          <w:lang w:val="ro-RO"/>
        </w:rPr>
      </w:pPr>
      <w:r w:rsidRPr="00A25833">
        <w:rPr>
          <w:rFonts w:ascii="Trebuchet MS" w:hAnsi="Trebuchet MS"/>
          <w:noProof/>
          <w:color w:val="auto"/>
          <w:lang w:val="ro-RO"/>
        </w:rPr>
        <w:t>„3. Funcționarii publici din cadrul aparatului Ministerului Finanțelor, Ministerului Muncii și Solidarităţii Sociale, Ministerului Mediului, Apelor şi Pădurilor, Ministerului Dezvoltării, Lucrărilor Publice și Administrației, Ministerului Investiţiilor şi Proiectelor Europene, Ministerului Sănătății, Ministerului Educației, Ministerului Culturii, Ministerului Transporturilor și Infrastructurii, Casei Naționale de Asigurări de Sănătate și din instituțiile aflate în subordinea, coordonarea sau sub autoritatea acestora, funcționarii publici din cadrul aparatului Administrației Prezidențiale, Secretariatului General al Guvernului, Ministerului Justiției, precum și funcționarii publici parlamentari din serviciile Parlamentului, cu excepția celor prevăzuți la pct. 1 şi 2, beneficiază, pentru complexitatea muncii, de o majorare a salariului de bază de 15%.”</w:t>
      </w:r>
    </w:p>
    <w:p w:rsidR="006E062F" w:rsidRPr="00A25833" w:rsidRDefault="006E062F" w:rsidP="0051493C">
      <w:pPr>
        <w:pStyle w:val="Default"/>
        <w:jc w:val="both"/>
        <w:rPr>
          <w:rFonts w:ascii="Trebuchet MS" w:hAnsi="Trebuchet MS"/>
          <w:b/>
          <w:bCs/>
          <w:noProof/>
          <w:color w:val="auto"/>
          <w:lang w:val="ro-RO"/>
        </w:rPr>
      </w:pPr>
    </w:p>
    <w:p w:rsidR="00023BB1" w:rsidRPr="00A25833" w:rsidRDefault="00535640" w:rsidP="00023BB1">
      <w:pPr>
        <w:pStyle w:val="Default"/>
        <w:jc w:val="both"/>
        <w:rPr>
          <w:rFonts w:ascii="Trebuchet MS" w:hAnsi="Trebuchet MS"/>
          <w:noProof/>
          <w:color w:val="auto"/>
          <w:lang w:val="ro-RO"/>
        </w:rPr>
      </w:pPr>
      <w:r w:rsidRPr="00A25833">
        <w:rPr>
          <w:rFonts w:ascii="Trebuchet MS" w:hAnsi="Trebuchet MS"/>
          <w:b/>
          <w:bCs/>
          <w:noProof/>
          <w:color w:val="auto"/>
          <w:lang w:val="ro-RO"/>
        </w:rPr>
        <w:t>8</w:t>
      </w:r>
      <w:r w:rsidR="00023BB1" w:rsidRPr="00A25833">
        <w:rPr>
          <w:rFonts w:ascii="Trebuchet MS" w:hAnsi="Trebuchet MS"/>
          <w:b/>
          <w:bCs/>
          <w:noProof/>
          <w:color w:val="auto"/>
          <w:lang w:val="ro-RO"/>
        </w:rPr>
        <w:t>.La anexa nr. VIII, Capitolul I, litera A, punctul I, după punctul 4</w:t>
      </w:r>
      <w:r w:rsidR="00023BB1" w:rsidRPr="00A25833">
        <w:rPr>
          <w:rFonts w:ascii="Trebuchet MS" w:hAnsi="Trebuchet MS"/>
          <w:b/>
          <w:bCs/>
          <w:noProof/>
          <w:color w:val="auto"/>
          <w:vertAlign w:val="superscript"/>
          <w:lang w:val="ro-RO"/>
        </w:rPr>
        <w:t>3</w:t>
      </w:r>
      <w:r w:rsidR="00023BB1" w:rsidRPr="00A25833">
        <w:rPr>
          <w:rFonts w:ascii="Trebuchet MS" w:hAnsi="Trebuchet MS"/>
          <w:b/>
          <w:bCs/>
          <w:noProof/>
          <w:color w:val="auto"/>
          <w:lang w:val="ro-RO"/>
        </w:rPr>
        <w:t xml:space="preserve"> de la Notă se introduce un nou punct, punctul 4</w:t>
      </w:r>
      <w:r w:rsidR="00023BB1" w:rsidRPr="00A25833">
        <w:rPr>
          <w:rFonts w:ascii="Trebuchet MS" w:hAnsi="Trebuchet MS"/>
          <w:b/>
          <w:bCs/>
          <w:noProof/>
          <w:color w:val="auto"/>
          <w:vertAlign w:val="superscript"/>
          <w:lang w:val="ro-RO"/>
        </w:rPr>
        <w:t>4</w:t>
      </w:r>
      <w:r w:rsidR="00023BB1" w:rsidRPr="00A25833">
        <w:rPr>
          <w:rFonts w:ascii="Trebuchet MS" w:hAnsi="Trebuchet MS"/>
          <w:b/>
          <w:bCs/>
          <w:noProof/>
          <w:color w:val="auto"/>
          <w:lang w:val="ro-RO"/>
        </w:rPr>
        <w:t xml:space="preserve">, cu următorul cuprins: </w:t>
      </w:r>
    </w:p>
    <w:p w:rsidR="00023BB1" w:rsidRPr="00A25833" w:rsidRDefault="00023BB1" w:rsidP="00023BB1">
      <w:pPr>
        <w:autoSpaceDE w:val="0"/>
        <w:autoSpaceDN w:val="0"/>
        <w:adjustRightInd w:val="0"/>
        <w:spacing w:line="240" w:lineRule="auto"/>
        <w:ind w:left="0"/>
        <w:rPr>
          <w:sz w:val="24"/>
          <w:szCs w:val="24"/>
        </w:rPr>
      </w:pPr>
      <w:r w:rsidRPr="00A25833">
        <w:rPr>
          <w:sz w:val="24"/>
          <w:szCs w:val="24"/>
        </w:rPr>
        <w:t>„4</w:t>
      </w:r>
      <w:r w:rsidRPr="00A25833">
        <w:rPr>
          <w:sz w:val="24"/>
          <w:szCs w:val="24"/>
          <w:vertAlign w:val="superscript"/>
        </w:rPr>
        <w:t>4</w:t>
      </w:r>
      <w:r w:rsidRPr="00A25833">
        <w:rPr>
          <w:sz w:val="24"/>
          <w:szCs w:val="24"/>
        </w:rPr>
        <w:t>. Prevederile pct. 3 şi 4 se aplică în mod corespunzător şi personalului din cadrul Institutului Național de Statistică.”.</w:t>
      </w:r>
    </w:p>
    <w:p w:rsidR="00023BB1" w:rsidRPr="00A25833" w:rsidRDefault="00023BB1" w:rsidP="00023BB1">
      <w:pPr>
        <w:autoSpaceDE w:val="0"/>
        <w:autoSpaceDN w:val="0"/>
        <w:adjustRightInd w:val="0"/>
        <w:spacing w:line="240" w:lineRule="auto"/>
        <w:ind w:left="0"/>
        <w:rPr>
          <w:rFonts w:eastAsia="Arial Unicode MS"/>
          <w:iCs/>
          <w:sz w:val="24"/>
          <w:szCs w:val="24"/>
          <w:bdr w:val="nil"/>
          <w14:textOutline w14:w="0" w14:cap="flat" w14:cmpd="sng" w14:algn="ctr">
            <w14:noFill/>
            <w14:prstDash w14:val="solid"/>
            <w14:bevel/>
          </w14:textOutline>
        </w:rPr>
      </w:pPr>
    </w:p>
    <w:p w:rsidR="0051493C" w:rsidRPr="00A25833" w:rsidRDefault="00535640" w:rsidP="0051493C">
      <w:pPr>
        <w:pStyle w:val="Default"/>
        <w:jc w:val="both"/>
        <w:rPr>
          <w:rFonts w:ascii="Trebuchet MS" w:hAnsi="Trebuchet MS"/>
          <w:noProof/>
          <w:color w:val="auto"/>
          <w:lang w:val="ro-RO"/>
        </w:rPr>
      </w:pPr>
      <w:r w:rsidRPr="00A25833">
        <w:rPr>
          <w:rFonts w:ascii="Trebuchet MS" w:hAnsi="Trebuchet MS"/>
          <w:b/>
          <w:bCs/>
          <w:noProof/>
          <w:color w:val="auto"/>
          <w:lang w:val="ro-RO"/>
        </w:rPr>
        <w:t>9</w:t>
      </w:r>
      <w:r w:rsidR="006E062F" w:rsidRPr="00A25833">
        <w:rPr>
          <w:rFonts w:ascii="Trebuchet MS" w:hAnsi="Trebuchet MS"/>
          <w:b/>
          <w:bCs/>
          <w:noProof/>
          <w:color w:val="auto"/>
          <w:lang w:val="ro-RO"/>
        </w:rPr>
        <w:t xml:space="preserve">. </w:t>
      </w:r>
      <w:r w:rsidR="0051493C" w:rsidRPr="00A25833">
        <w:rPr>
          <w:rFonts w:ascii="Trebuchet MS" w:hAnsi="Trebuchet MS"/>
          <w:b/>
          <w:bCs/>
          <w:noProof/>
          <w:color w:val="auto"/>
          <w:lang w:val="ro-RO"/>
        </w:rPr>
        <w:t xml:space="preserve">La anexa nr. VIII, Capitolul I, litera A, punctul II, punctul 2 de la Notă se modifică și va avea următorul cuprins: </w:t>
      </w:r>
    </w:p>
    <w:p w:rsidR="0051493C" w:rsidRPr="00A25833" w:rsidRDefault="0051493C" w:rsidP="0051493C">
      <w:pPr>
        <w:autoSpaceDE w:val="0"/>
        <w:autoSpaceDN w:val="0"/>
        <w:adjustRightInd w:val="0"/>
        <w:spacing w:line="240" w:lineRule="auto"/>
        <w:ind w:left="0"/>
        <w:rPr>
          <w:sz w:val="24"/>
          <w:szCs w:val="24"/>
        </w:rPr>
      </w:pPr>
      <w:r w:rsidRPr="00A25833">
        <w:rPr>
          <w:sz w:val="24"/>
          <w:szCs w:val="24"/>
        </w:rPr>
        <w:t>„2. Funcționarii publici din serviciile publice deconcentrate ale instituțiilor din subordinea, coordonarea sau sub autoritatea Ministerului Mediului, Apelor şi Pădurilor, Ministerului Sănătății, Ministerului Educației, Ministerului Culturii, Ministerului Transporturilor și Infrastructurii și Ministerului Muncii și Solidarităţii Sociale</w:t>
      </w:r>
      <w:r w:rsidR="00FC4558" w:rsidRPr="00A25833">
        <w:rPr>
          <w:sz w:val="24"/>
          <w:szCs w:val="24"/>
        </w:rPr>
        <w:t>, precum și din cadrul direcțiilor regionale și județene de statistică</w:t>
      </w:r>
      <w:r w:rsidRPr="00A25833">
        <w:rPr>
          <w:sz w:val="24"/>
          <w:szCs w:val="24"/>
        </w:rPr>
        <w:t xml:space="preserve"> beneficiază, pentru complexitatea muncii, de o majorare a salariului de bază de 15%.”</w:t>
      </w:r>
    </w:p>
    <w:p w:rsidR="0051493C" w:rsidRPr="00A25833" w:rsidRDefault="0051493C" w:rsidP="00C94050">
      <w:pPr>
        <w:pStyle w:val="Default"/>
        <w:jc w:val="both"/>
        <w:rPr>
          <w:rFonts w:ascii="Trebuchet MS" w:hAnsi="Trebuchet MS"/>
          <w:noProof/>
          <w:color w:val="auto"/>
          <w:lang w:val="ro-RO"/>
        </w:rPr>
      </w:pPr>
    </w:p>
    <w:p w:rsidR="00606E8A" w:rsidRPr="00A25833" w:rsidRDefault="00535640" w:rsidP="00606E8A">
      <w:pPr>
        <w:pStyle w:val="Default"/>
        <w:jc w:val="both"/>
        <w:rPr>
          <w:rFonts w:ascii="Trebuchet MS" w:hAnsi="Trebuchet MS"/>
          <w:noProof/>
          <w:color w:val="auto"/>
          <w:lang w:val="ro-RO"/>
        </w:rPr>
      </w:pPr>
      <w:r w:rsidRPr="00A25833">
        <w:rPr>
          <w:rFonts w:ascii="Trebuchet MS" w:hAnsi="Trebuchet MS"/>
          <w:b/>
          <w:bCs/>
          <w:noProof/>
          <w:color w:val="auto"/>
          <w:lang w:val="ro-RO"/>
        </w:rPr>
        <w:t>10</w:t>
      </w:r>
      <w:r w:rsidR="0051493C" w:rsidRPr="00A25833">
        <w:rPr>
          <w:rFonts w:ascii="Trebuchet MS" w:hAnsi="Trebuchet MS"/>
          <w:b/>
          <w:bCs/>
          <w:noProof/>
          <w:color w:val="auto"/>
          <w:lang w:val="ro-RO"/>
        </w:rPr>
        <w:t xml:space="preserve">. </w:t>
      </w:r>
      <w:r w:rsidR="00606E8A" w:rsidRPr="00A25833">
        <w:rPr>
          <w:rFonts w:ascii="Trebuchet MS" w:hAnsi="Trebuchet MS"/>
          <w:b/>
          <w:bCs/>
          <w:noProof/>
          <w:color w:val="auto"/>
          <w:lang w:val="ro-RO"/>
        </w:rPr>
        <w:t xml:space="preserve">La anexa nr. VIII, Capitolul II, litera A, punctul I, punctul 3 de la Notă se modifică și va avea următorul cuprins: </w:t>
      </w:r>
    </w:p>
    <w:p w:rsidR="00606E8A" w:rsidRPr="00A25833" w:rsidRDefault="00606E8A" w:rsidP="00606E8A">
      <w:pPr>
        <w:pStyle w:val="Default"/>
        <w:jc w:val="both"/>
        <w:rPr>
          <w:rFonts w:ascii="Trebuchet MS" w:hAnsi="Trebuchet MS"/>
          <w:noProof/>
          <w:color w:val="auto"/>
          <w:lang w:val="ro-RO"/>
        </w:rPr>
      </w:pPr>
      <w:r w:rsidRPr="00A25833">
        <w:rPr>
          <w:rFonts w:ascii="Trebuchet MS" w:hAnsi="Trebuchet MS"/>
          <w:noProof/>
          <w:color w:val="auto"/>
          <w:lang w:val="ro-RO"/>
        </w:rPr>
        <w:t xml:space="preserve">„3. Personalul contractual din cadrul aparatului Ministerului Finanțelor, Ministerului Muncii și Solidarităţii Sociale, Ministerului Mediului, Apelor şi Pădurilor, Ministerului Dezvoltării, Lucrărilor Publice și Administrației, Ministerului Investiţiilor şi Proiectelor Europene, Ministerului Sănătății, Ministerul Educației, Ministerului Culturii, Ministerului Transporturilor și Infrastructurii, Casei Naționale de Asigurări de Sănătate și din instituțiile aflate în subordinea, coordonarea sau sub autoritatea </w:t>
      </w:r>
      <w:r w:rsidRPr="00A25833">
        <w:rPr>
          <w:rFonts w:ascii="Trebuchet MS" w:hAnsi="Trebuchet MS"/>
          <w:noProof/>
          <w:color w:val="auto"/>
          <w:lang w:val="ro-RO"/>
        </w:rPr>
        <w:lastRenderedPageBreak/>
        <w:t xml:space="preserve">acestora, din cadrul aparatului Administrației Prezidențiale, Secretariatului General al Guvernului, Ministerului Justiției, din serviciile Parlamentului, cu excepția celui prevăzut la pct. 1 şi 2, precum și cu excepția personalului prevăzut la cap. II lit. A pct. I subpct. 2.4 din prezenta anexă, beneficiază, pentru complexitatea muncii, de o majorare a salariului de bază de 15%.” </w:t>
      </w:r>
    </w:p>
    <w:p w:rsidR="00F60711" w:rsidRPr="00A25833" w:rsidRDefault="00F60711" w:rsidP="00606E8A">
      <w:pPr>
        <w:pStyle w:val="Default"/>
        <w:jc w:val="both"/>
        <w:rPr>
          <w:rFonts w:ascii="Trebuchet MS" w:hAnsi="Trebuchet MS"/>
          <w:noProof/>
          <w:color w:val="auto"/>
          <w:lang w:val="ro-RO"/>
        </w:rPr>
      </w:pPr>
    </w:p>
    <w:p w:rsidR="00F60711" w:rsidRPr="00A25833" w:rsidRDefault="00F60711" w:rsidP="00606E8A">
      <w:pPr>
        <w:pStyle w:val="Default"/>
        <w:jc w:val="both"/>
        <w:rPr>
          <w:rFonts w:ascii="Trebuchet MS" w:hAnsi="Trebuchet MS"/>
          <w:noProof/>
          <w:color w:val="auto"/>
          <w:lang w:val="ro-RO"/>
        </w:rPr>
      </w:pPr>
    </w:p>
    <w:p w:rsidR="00F60711" w:rsidRPr="00A25833" w:rsidRDefault="00535640" w:rsidP="00F60711">
      <w:pPr>
        <w:pStyle w:val="Default"/>
        <w:jc w:val="both"/>
        <w:rPr>
          <w:rFonts w:ascii="Trebuchet MS" w:hAnsi="Trebuchet MS"/>
          <w:noProof/>
          <w:color w:val="auto"/>
          <w:lang w:val="ro-RO"/>
        </w:rPr>
      </w:pPr>
      <w:r w:rsidRPr="00A25833">
        <w:rPr>
          <w:rFonts w:ascii="Trebuchet MS" w:hAnsi="Trebuchet MS"/>
          <w:b/>
          <w:bCs/>
          <w:noProof/>
          <w:color w:val="auto"/>
          <w:lang w:val="ro-RO"/>
        </w:rPr>
        <w:t>11</w:t>
      </w:r>
      <w:r w:rsidR="00F60711" w:rsidRPr="00A25833">
        <w:rPr>
          <w:rFonts w:ascii="Trebuchet MS" w:hAnsi="Trebuchet MS"/>
          <w:b/>
          <w:bCs/>
          <w:noProof/>
          <w:color w:val="auto"/>
          <w:lang w:val="ro-RO"/>
        </w:rPr>
        <w:t>.</w:t>
      </w:r>
      <w:r w:rsidR="00AC62A3" w:rsidRPr="00A25833">
        <w:rPr>
          <w:rFonts w:ascii="Trebuchet MS" w:hAnsi="Trebuchet MS"/>
          <w:b/>
          <w:bCs/>
          <w:noProof/>
          <w:color w:val="auto"/>
          <w:lang w:val="ro-RO"/>
        </w:rPr>
        <w:t xml:space="preserve"> </w:t>
      </w:r>
      <w:r w:rsidR="00F60711" w:rsidRPr="00A25833">
        <w:rPr>
          <w:rFonts w:ascii="Trebuchet MS" w:hAnsi="Trebuchet MS"/>
          <w:b/>
          <w:bCs/>
          <w:noProof/>
          <w:color w:val="auto"/>
          <w:lang w:val="ro-RO"/>
        </w:rPr>
        <w:t>La anexa nr. VIII, Capitolul II, lit</w:t>
      </w:r>
      <w:r w:rsidR="008C7924" w:rsidRPr="00A25833">
        <w:rPr>
          <w:rFonts w:ascii="Trebuchet MS" w:hAnsi="Trebuchet MS"/>
          <w:b/>
          <w:bCs/>
          <w:noProof/>
          <w:color w:val="auto"/>
          <w:lang w:val="ro-RO"/>
        </w:rPr>
        <w:t>era A, punctul I, după punctul 6</w:t>
      </w:r>
      <w:r w:rsidR="00F60711" w:rsidRPr="00A25833">
        <w:rPr>
          <w:rFonts w:ascii="Trebuchet MS" w:hAnsi="Trebuchet MS"/>
          <w:b/>
          <w:bCs/>
          <w:noProof/>
          <w:color w:val="auto"/>
          <w:lang w:val="ro-RO"/>
        </w:rPr>
        <w:t xml:space="preserve"> de la Notă se i</w:t>
      </w:r>
      <w:r w:rsidR="008C7924" w:rsidRPr="00A25833">
        <w:rPr>
          <w:rFonts w:ascii="Trebuchet MS" w:hAnsi="Trebuchet MS"/>
          <w:b/>
          <w:bCs/>
          <w:noProof/>
          <w:color w:val="auto"/>
          <w:lang w:val="ro-RO"/>
        </w:rPr>
        <w:t>ntroduce un nou punct, punctul 7</w:t>
      </w:r>
      <w:r w:rsidR="00F60711" w:rsidRPr="00A25833">
        <w:rPr>
          <w:rFonts w:ascii="Trebuchet MS" w:hAnsi="Trebuchet MS"/>
          <w:b/>
          <w:bCs/>
          <w:noProof/>
          <w:color w:val="auto"/>
          <w:lang w:val="ro-RO"/>
        </w:rPr>
        <w:t xml:space="preserve">, cu următorul cuprins: </w:t>
      </w:r>
    </w:p>
    <w:p w:rsidR="00F60711" w:rsidRPr="00A25833" w:rsidRDefault="008C7924" w:rsidP="00F60711">
      <w:pPr>
        <w:autoSpaceDE w:val="0"/>
        <w:autoSpaceDN w:val="0"/>
        <w:adjustRightInd w:val="0"/>
        <w:spacing w:line="240" w:lineRule="auto"/>
        <w:ind w:left="0"/>
        <w:rPr>
          <w:rFonts w:eastAsia="Arial Unicode MS"/>
          <w:iCs/>
          <w:sz w:val="24"/>
          <w:szCs w:val="24"/>
          <w:bdr w:val="nil"/>
          <w14:textOutline w14:w="0" w14:cap="flat" w14:cmpd="sng" w14:algn="ctr">
            <w14:noFill/>
            <w14:prstDash w14:val="solid"/>
            <w14:bevel/>
          </w14:textOutline>
        </w:rPr>
      </w:pPr>
      <w:r w:rsidRPr="00A25833">
        <w:rPr>
          <w:sz w:val="24"/>
          <w:szCs w:val="24"/>
        </w:rPr>
        <w:t>„7</w:t>
      </w:r>
      <w:r w:rsidR="00F60711" w:rsidRPr="00A25833">
        <w:rPr>
          <w:sz w:val="24"/>
          <w:szCs w:val="24"/>
        </w:rPr>
        <w:t>. Prevederile pct. 3 şi 4 se aplică în mod corespunzător şi personalului din cadrul Institutului Național de Statistică”.</w:t>
      </w:r>
    </w:p>
    <w:p w:rsidR="00606E8A" w:rsidRPr="00A25833" w:rsidRDefault="00606E8A" w:rsidP="0051493C">
      <w:pPr>
        <w:pStyle w:val="Default"/>
        <w:jc w:val="both"/>
        <w:rPr>
          <w:rFonts w:ascii="Trebuchet MS" w:hAnsi="Trebuchet MS"/>
          <w:b/>
          <w:bCs/>
          <w:noProof/>
          <w:color w:val="auto"/>
          <w:lang w:val="ro-RO"/>
        </w:rPr>
      </w:pPr>
    </w:p>
    <w:p w:rsidR="0051493C" w:rsidRPr="00A25833" w:rsidRDefault="00C64692" w:rsidP="0051493C">
      <w:pPr>
        <w:pStyle w:val="Default"/>
        <w:jc w:val="both"/>
        <w:rPr>
          <w:rFonts w:ascii="Trebuchet MS" w:hAnsi="Trebuchet MS"/>
          <w:noProof/>
          <w:color w:val="auto"/>
          <w:lang w:val="ro-RO"/>
        </w:rPr>
      </w:pPr>
      <w:r w:rsidRPr="00A25833">
        <w:rPr>
          <w:rFonts w:ascii="Trebuchet MS" w:hAnsi="Trebuchet MS"/>
          <w:b/>
          <w:bCs/>
          <w:noProof/>
          <w:color w:val="auto"/>
          <w:lang w:val="ro-RO"/>
        </w:rPr>
        <w:t>11</w:t>
      </w:r>
      <w:r w:rsidR="00606E8A" w:rsidRPr="00A25833">
        <w:rPr>
          <w:rFonts w:ascii="Trebuchet MS" w:hAnsi="Trebuchet MS"/>
          <w:b/>
          <w:bCs/>
          <w:noProof/>
          <w:color w:val="auto"/>
          <w:lang w:val="ro-RO"/>
        </w:rPr>
        <w:t xml:space="preserve">. </w:t>
      </w:r>
      <w:r w:rsidR="0051493C" w:rsidRPr="00A25833">
        <w:rPr>
          <w:rFonts w:ascii="Trebuchet MS" w:hAnsi="Trebuchet MS"/>
          <w:b/>
          <w:bCs/>
          <w:noProof/>
          <w:color w:val="auto"/>
          <w:lang w:val="ro-RO"/>
        </w:rPr>
        <w:t xml:space="preserve">La anexa nr. VIII, Capitolul II, litera A, punctul III, punctul 2 de la Notă se modifică și va avea următorul cuprins: </w:t>
      </w:r>
    </w:p>
    <w:p w:rsidR="0051493C" w:rsidRPr="00A25833" w:rsidRDefault="0051493C" w:rsidP="00983E0F">
      <w:pPr>
        <w:pStyle w:val="Default"/>
        <w:jc w:val="both"/>
        <w:rPr>
          <w:rFonts w:ascii="Trebuchet MS" w:hAnsi="Trebuchet MS"/>
          <w:noProof/>
          <w:color w:val="auto"/>
          <w:lang w:val="ro-RO"/>
        </w:rPr>
      </w:pPr>
      <w:r w:rsidRPr="00A25833">
        <w:rPr>
          <w:rFonts w:ascii="Trebuchet MS" w:hAnsi="Trebuchet MS"/>
          <w:noProof/>
          <w:color w:val="auto"/>
          <w:lang w:val="ro-RO"/>
        </w:rPr>
        <w:t>„2. Personalul contractual din serviciile publice deconcentrate ale instituțiilor din subordinea, coordonarea sau sub autoritatea Ministerului Mediului, Apelor şi Pădurilor, Ministerului Muncii și Solidarităţii Sociale, Ministerului Sănătății, Ministerului Culturii, Ministerului Transporturilor și Infrastructurii</w:t>
      </w:r>
      <w:r w:rsidR="00FC4558" w:rsidRPr="00A25833">
        <w:rPr>
          <w:rFonts w:ascii="Trebuchet MS" w:hAnsi="Trebuchet MS"/>
          <w:noProof/>
          <w:color w:val="auto"/>
          <w:lang w:val="ro-RO"/>
        </w:rPr>
        <w:t>,</w:t>
      </w:r>
      <w:r w:rsidRPr="00A25833">
        <w:rPr>
          <w:rFonts w:ascii="Trebuchet MS" w:hAnsi="Trebuchet MS"/>
          <w:noProof/>
          <w:color w:val="auto"/>
          <w:lang w:val="ro-RO"/>
        </w:rPr>
        <w:t xml:space="preserve"> Ministerului Educației</w:t>
      </w:r>
      <w:r w:rsidR="00FC4558" w:rsidRPr="00A25833">
        <w:rPr>
          <w:rFonts w:ascii="Trebuchet MS" w:hAnsi="Trebuchet MS"/>
          <w:noProof/>
          <w:color w:val="auto"/>
          <w:lang w:val="ro-RO"/>
        </w:rPr>
        <w:t>, precum și din cadrul direcțiilor regionale și județene de statistică</w:t>
      </w:r>
      <w:r w:rsidRPr="00A25833">
        <w:rPr>
          <w:rFonts w:ascii="Trebuchet MS" w:hAnsi="Trebuchet MS"/>
          <w:noProof/>
          <w:color w:val="auto"/>
          <w:lang w:val="ro-RO"/>
        </w:rPr>
        <w:t xml:space="preserve"> beneficiază, pentru complexitatea muncii, de o majorare a salariului de bază de 15%.”</w:t>
      </w:r>
    </w:p>
    <w:p w:rsidR="00F60711" w:rsidRPr="00A25833" w:rsidRDefault="00F60711" w:rsidP="00F60711">
      <w:pPr>
        <w:pStyle w:val="Default"/>
        <w:jc w:val="both"/>
        <w:rPr>
          <w:rFonts w:ascii="Trebuchet MS" w:hAnsi="Trebuchet MS"/>
          <w:noProof/>
          <w:color w:val="auto"/>
          <w:lang w:val="ro-RO"/>
        </w:rPr>
      </w:pPr>
    </w:p>
    <w:p w:rsidR="00F60711" w:rsidRPr="00A25833" w:rsidRDefault="00F60711" w:rsidP="0051493C">
      <w:pPr>
        <w:pStyle w:val="Default"/>
        <w:jc w:val="both"/>
        <w:rPr>
          <w:rFonts w:ascii="Trebuchet MS" w:hAnsi="Trebuchet MS"/>
          <w:b/>
          <w:bCs/>
          <w:noProof/>
          <w:color w:val="auto"/>
          <w:lang w:val="ro-RO"/>
        </w:rPr>
      </w:pPr>
    </w:p>
    <w:p w:rsidR="0051493C" w:rsidRPr="00A25833" w:rsidRDefault="0051493C" w:rsidP="00C94050">
      <w:pPr>
        <w:pStyle w:val="Default"/>
        <w:jc w:val="both"/>
        <w:rPr>
          <w:rFonts w:ascii="Trebuchet MS" w:hAnsi="Trebuchet MS"/>
          <w:noProof/>
          <w:color w:val="auto"/>
          <w:lang w:val="ro-RO"/>
        </w:rPr>
      </w:pPr>
    </w:p>
    <w:p w:rsidR="00A06DBE" w:rsidRPr="00A25833" w:rsidRDefault="00A06DBE" w:rsidP="00EE2E7D">
      <w:pPr>
        <w:autoSpaceDE w:val="0"/>
        <w:autoSpaceDN w:val="0"/>
        <w:adjustRightInd w:val="0"/>
        <w:spacing w:line="240" w:lineRule="auto"/>
        <w:ind w:left="0"/>
        <w:rPr>
          <w:rFonts w:eastAsia="Arial Unicode MS"/>
          <w:b/>
          <w:iCs/>
          <w:sz w:val="24"/>
          <w:szCs w:val="24"/>
          <w:bdr w:val="nil"/>
          <w14:textOutline w14:w="0" w14:cap="flat" w14:cmpd="sng" w14:algn="ctr">
            <w14:noFill/>
            <w14:prstDash w14:val="solid"/>
            <w14:bevel/>
          </w14:textOutline>
        </w:rPr>
      </w:pPr>
      <w:r w:rsidRPr="00A25833">
        <w:rPr>
          <w:rFonts w:eastAsia="Arial Unicode MS"/>
          <w:b/>
          <w:iCs/>
          <w:sz w:val="24"/>
          <w:szCs w:val="24"/>
          <w:bdr w:val="nil"/>
          <w14:textOutline w14:w="0" w14:cap="flat" w14:cmpd="sng" w14:algn="ctr">
            <w14:noFill/>
            <w14:prstDash w14:val="solid"/>
            <w14:bevel/>
          </w14:textOutline>
        </w:rPr>
        <w:t>Art.II</w:t>
      </w:r>
    </w:p>
    <w:p w:rsidR="00A06DBE" w:rsidRPr="00A25833" w:rsidRDefault="00A06DBE" w:rsidP="00EE2E7D">
      <w:pPr>
        <w:autoSpaceDE w:val="0"/>
        <w:autoSpaceDN w:val="0"/>
        <w:adjustRightInd w:val="0"/>
        <w:spacing w:line="240" w:lineRule="auto"/>
        <w:ind w:left="0"/>
        <w:rPr>
          <w:rFonts w:eastAsia="Arial Unicode MS"/>
          <w:iCs/>
          <w:sz w:val="24"/>
          <w:szCs w:val="24"/>
          <w:bdr w:val="nil"/>
          <w14:textOutline w14:w="0" w14:cap="flat" w14:cmpd="sng" w14:algn="ctr">
            <w14:noFill/>
            <w14:prstDash w14:val="solid"/>
            <w14:bevel/>
          </w14:textOutline>
        </w:rPr>
      </w:pPr>
      <w:r w:rsidRPr="00A25833">
        <w:rPr>
          <w:rFonts w:eastAsia="Arial Unicode MS"/>
          <w:iCs/>
          <w:sz w:val="24"/>
          <w:szCs w:val="24"/>
          <w:bdr w:val="nil"/>
          <w14:textOutline w14:w="0" w14:cap="flat" w14:cmpd="sng" w14:algn="ctr">
            <w14:noFill/>
            <w14:prstDash w14:val="solid"/>
            <w14:bevel/>
          </w14:textOutline>
        </w:rPr>
        <w:t>La articolul I din Ordona</w:t>
      </w:r>
      <w:r w:rsidR="007C6DF4" w:rsidRPr="00A25833">
        <w:rPr>
          <w:rFonts w:eastAsia="Arial Unicode MS"/>
          <w:iCs/>
          <w:sz w:val="24"/>
          <w:szCs w:val="24"/>
          <w:bdr w:val="nil"/>
          <w14:textOutline w14:w="0" w14:cap="flat" w14:cmpd="sng" w14:algn="ctr">
            <w14:noFill/>
            <w14:prstDash w14:val="solid"/>
            <w14:bevel/>
          </w14:textOutline>
        </w:rPr>
        <w:t>nța de urgență a Guvernului nr.</w:t>
      </w:r>
      <w:r w:rsidRPr="00A25833">
        <w:rPr>
          <w:rFonts w:eastAsia="Arial Unicode MS"/>
          <w:iCs/>
          <w:sz w:val="24"/>
          <w:szCs w:val="24"/>
          <w:bdr w:val="nil"/>
          <w14:textOutline w14:w="0" w14:cap="flat" w14:cmpd="sng" w14:algn="ctr">
            <w14:noFill/>
            <w14:prstDash w14:val="solid"/>
            <w14:bevel/>
          </w14:textOutline>
        </w:rPr>
        <w:t xml:space="preserve">130/2021 privind unele măsuri fiscal-bugetare, prorogarea unor termene, precum şi pentru modificarea şi completarea unor acte normative, publicată în Monitorul Oficial al României, Partea I, nr. 1202 din 18 decembrie 2021, cu modificările ulterioare, după alineatul (4) se introduc </w:t>
      </w:r>
      <w:r w:rsidR="007C6DF4" w:rsidRPr="00A25833">
        <w:rPr>
          <w:rFonts w:eastAsia="Arial Unicode MS"/>
          <w:iCs/>
          <w:sz w:val="24"/>
          <w:szCs w:val="24"/>
          <w:bdr w:val="nil"/>
          <w14:textOutline w14:w="0" w14:cap="flat" w14:cmpd="sng" w14:algn="ctr">
            <w14:noFill/>
            <w14:prstDash w14:val="solid"/>
            <w14:bevel/>
          </w14:textOutline>
        </w:rPr>
        <w:t>două</w:t>
      </w:r>
      <w:r w:rsidRPr="00A25833">
        <w:rPr>
          <w:rFonts w:eastAsia="Arial Unicode MS"/>
          <w:iCs/>
          <w:sz w:val="24"/>
          <w:szCs w:val="24"/>
          <w:bdr w:val="nil"/>
          <w14:textOutline w14:w="0" w14:cap="flat" w14:cmpd="sng" w14:algn="ctr">
            <w14:noFill/>
            <w14:prstDash w14:val="solid"/>
            <w14:bevel/>
          </w14:textOutline>
        </w:rPr>
        <w:t xml:space="preserve"> noi alineate, alin. (4</w:t>
      </w:r>
      <w:r w:rsidRPr="00A25833">
        <w:rPr>
          <w:rFonts w:eastAsia="Arial Unicode MS"/>
          <w:iCs/>
          <w:sz w:val="24"/>
          <w:szCs w:val="24"/>
          <w:bdr w:val="nil"/>
          <w:vertAlign w:val="superscript"/>
          <w14:textOutline w14:w="0" w14:cap="flat" w14:cmpd="sng" w14:algn="ctr">
            <w14:noFill/>
            <w14:prstDash w14:val="solid"/>
            <w14:bevel/>
          </w14:textOutline>
        </w:rPr>
        <w:t>1</w:t>
      </w:r>
      <w:r w:rsidRPr="00A25833">
        <w:rPr>
          <w:rFonts w:eastAsia="Arial Unicode MS"/>
          <w:iCs/>
          <w:sz w:val="24"/>
          <w:szCs w:val="24"/>
          <w:bdr w:val="nil"/>
          <w14:textOutline w14:w="0" w14:cap="flat" w14:cmpd="sng" w14:algn="ctr">
            <w14:noFill/>
            <w14:prstDash w14:val="solid"/>
            <w14:bevel/>
          </w14:textOutline>
        </w:rPr>
        <w:t>) – (4</w:t>
      </w:r>
      <w:r w:rsidR="000706F1" w:rsidRPr="00A25833">
        <w:rPr>
          <w:rFonts w:eastAsia="Arial Unicode MS"/>
          <w:iCs/>
          <w:sz w:val="24"/>
          <w:szCs w:val="24"/>
          <w:bdr w:val="nil"/>
          <w:vertAlign w:val="superscript"/>
          <w14:textOutline w14:w="0" w14:cap="flat" w14:cmpd="sng" w14:algn="ctr">
            <w14:noFill/>
            <w14:prstDash w14:val="solid"/>
            <w14:bevel/>
          </w14:textOutline>
        </w:rPr>
        <w:t>2</w:t>
      </w:r>
      <w:r w:rsidRPr="00A25833">
        <w:rPr>
          <w:rFonts w:eastAsia="Arial Unicode MS"/>
          <w:iCs/>
          <w:sz w:val="24"/>
          <w:szCs w:val="24"/>
          <w:bdr w:val="nil"/>
          <w14:textOutline w14:w="0" w14:cap="flat" w14:cmpd="sng" w14:algn="ctr">
            <w14:noFill/>
            <w14:prstDash w14:val="solid"/>
            <w14:bevel/>
          </w14:textOutline>
        </w:rPr>
        <w:t xml:space="preserve">), cu următorul cuprins: </w:t>
      </w:r>
    </w:p>
    <w:p w:rsidR="00A06DBE" w:rsidRPr="00A25833" w:rsidRDefault="00A06DBE" w:rsidP="00EE2E7D">
      <w:pPr>
        <w:autoSpaceDE w:val="0"/>
        <w:autoSpaceDN w:val="0"/>
        <w:adjustRightInd w:val="0"/>
        <w:spacing w:line="240" w:lineRule="auto"/>
        <w:ind w:left="0"/>
        <w:rPr>
          <w:rFonts w:eastAsia="Arial Unicode MS"/>
          <w:iCs/>
          <w:sz w:val="24"/>
          <w:szCs w:val="24"/>
          <w:bdr w:val="nil"/>
          <w14:textOutline w14:w="0" w14:cap="flat" w14:cmpd="sng" w14:algn="ctr">
            <w14:noFill/>
            <w14:prstDash w14:val="solid"/>
            <w14:bevel/>
          </w14:textOutline>
        </w:rPr>
      </w:pPr>
      <w:r w:rsidRPr="00A25833">
        <w:rPr>
          <w:rFonts w:eastAsia="Arial Unicode MS"/>
          <w:iCs/>
          <w:sz w:val="24"/>
          <w:szCs w:val="24"/>
          <w:bdr w:val="nil"/>
          <w14:textOutline w14:w="0" w14:cap="flat" w14:cmpd="sng" w14:algn="ctr">
            <w14:noFill/>
            <w14:prstDash w14:val="solid"/>
            <w14:bevel/>
          </w14:textOutline>
        </w:rPr>
        <w:t>„(4</w:t>
      </w:r>
      <w:r w:rsidRPr="00A25833">
        <w:rPr>
          <w:rFonts w:eastAsia="Arial Unicode MS"/>
          <w:iCs/>
          <w:sz w:val="24"/>
          <w:szCs w:val="24"/>
          <w:bdr w:val="nil"/>
          <w:vertAlign w:val="superscript"/>
          <w14:textOutline w14:w="0" w14:cap="flat" w14:cmpd="sng" w14:algn="ctr">
            <w14:noFill/>
            <w14:prstDash w14:val="solid"/>
            <w14:bevel/>
          </w14:textOutline>
        </w:rPr>
        <w:t>1</w:t>
      </w:r>
      <w:r w:rsidRPr="00A25833">
        <w:rPr>
          <w:rFonts w:eastAsia="Arial Unicode MS"/>
          <w:iCs/>
          <w:sz w:val="24"/>
          <w:szCs w:val="24"/>
          <w:bdr w:val="nil"/>
          <w14:textOutline w14:w="0" w14:cap="flat" w14:cmpd="sng" w14:algn="ctr">
            <w14:noFill/>
            <w14:prstDash w14:val="solid"/>
            <w14:bevel/>
          </w14:textOutline>
        </w:rPr>
        <w:t>) Prin excepţie de</w:t>
      </w:r>
      <w:r w:rsidR="000B1BD5" w:rsidRPr="00A25833">
        <w:rPr>
          <w:rFonts w:eastAsia="Arial Unicode MS"/>
          <w:iCs/>
          <w:sz w:val="24"/>
          <w:szCs w:val="24"/>
          <w:bdr w:val="nil"/>
          <w14:textOutline w14:w="0" w14:cap="flat" w14:cmpd="sng" w14:algn="ctr">
            <w14:noFill/>
            <w14:prstDash w14:val="solid"/>
            <w14:bevel/>
          </w14:textOutline>
        </w:rPr>
        <w:t xml:space="preserve"> la prevederile alin.(1)</w:t>
      </w:r>
      <w:r w:rsidR="00CD2FE2" w:rsidRPr="00A25833">
        <w:rPr>
          <w:rFonts w:eastAsia="Arial Unicode MS"/>
          <w:iCs/>
          <w:sz w:val="24"/>
          <w:szCs w:val="24"/>
          <w:bdr w:val="nil"/>
          <w14:textOutline w14:w="0" w14:cap="flat" w14:cmpd="sng" w14:algn="ctr">
            <w14:noFill/>
            <w14:prstDash w14:val="solid"/>
            <w14:bevel/>
          </w14:textOutline>
        </w:rPr>
        <w:t xml:space="preserve"> și</w:t>
      </w:r>
      <w:r w:rsidR="00AC62A3" w:rsidRPr="00A25833">
        <w:rPr>
          <w:rFonts w:eastAsia="Arial Unicode MS"/>
          <w:iCs/>
          <w:sz w:val="24"/>
          <w:szCs w:val="24"/>
          <w:bdr w:val="nil"/>
          <w14:textOutline w14:w="0" w14:cap="flat" w14:cmpd="sng" w14:algn="ctr">
            <w14:noFill/>
            <w14:prstDash w14:val="solid"/>
            <w14:bevel/>
          </w14:textOutline>
        </w:rPr>
        <w:t xml:space="preserve"> prin derogare de la prevederile art.38</w:t>
      </w:r>
      <w:r w:rsidR="00CD2FE2" w:rsidRPr="00A25833">
        <w:rPr>
          <w:rFonts w:eastAsia="Arial Unicode MS"/>
          <w:iCs/>
          <w:sz w:val="24"/>
          <w:szCs w:val="24"/>
          <w:bdr w:val="nil"/>
          <w14:textOutline w14:w="0" w14:cap="flat" w14:cmpd="sng" w14:algn="ctr">
            <w14:noFill/>
            <w14:prstDash w14:val="solid"/>
            <w14:bevel/>
          </w14:textOutline>
        </w:rPr>
        <w:t xml:space="preserve"> alin.(4) din Legea-cadru nr.153/2017, cu modificările și completările ulterioare,</w:t>
      </w:r>
      <w:r w:rsidRPr="00A25833">
        <w:rPr>
          <w:rFonts w:eastAsia="Arial Unicode MS"/>
          <w:iCs/>
          <w:sz w:val="24"/>
          <w:szCs w:val="24"/>
          <w:bdr w:val="nil"/>
          <w14:textOutline w14:w="0" w14:cap="flat" w14:cmpd="sng" w14:algn="ctr">
            <w14:noFill/>
            <w14:prstDash w14:val="solid"/>
            <w14:bevel/>
          </w14:textOutline>
        </w:rPr>
        <w:t xml:space="preserve"> începând cu </w:t>
      </w:r>
      <w:r w:rsidR="00AC62A3" w:rsidRPr="00A25833">
        <w:rPr>
          <w:rFonts w:eastAsia="Arial Unicode MS"/>
          <w:iCs/>
          <w:sz w:val="24"/>
          <w:szCs w:val="24"/>
          <w:bdr w:val="nil"/>
          <w14:textOutline w14:w="0" w14:cap="flat" w14:cmpd="sng" w14:algn="ctr">
            <w14:noFill/>
            <w14:prstDash w14:val="solid"/>
            <w14:bevel/>
          </w14:textOutline>
        </w:rPr>
        <w:t>luna august 2022</w:t>
      </w:r>
      <w:r w:rsidRPr="00A25833">
        <w:rPr>
          <w:rFonts w:eastAsia="Arial Unicode MS"/>
          <w:iCs/>
          <w:sz w:val="24"/>
          <w:szCs w:val="24"/>
          <w:bdr w:val="nil"/>
          <w14:textOutline w14:w="0" w14:cap="flat" w14:cmpd="sng" w14:algn="ctr">
            <w14:noFill/>
            <w14:prstDash w14:val="solid"/>
            <w14:bevel/>
          </w14:textOutline>
        </w:rPr>
        <w:t>, cuantumul brut al salariilor de bază, soldelor d</w:t>
      </w:r>
      <w:r w:rsidR="000B1BD5" w:rsidRPr="00A25833">
        <w:rPr>
          <w:rFonts w:eastAsia="Arial Unicode MS"/>
          <w:iCs/>
          <w:sz w:val="24"/>
          <w:szCs w:val="24"/>
          <w:bdr w:val="nil"/>
          <w14:textOutline w14:w="0" w14:cap="flat" w14:cmpd="sng" w14:algn="ctr">
            <w14:noFill/>
            <w14:prstDash w14:val="solid"/>
            <w14:bevel/>
          </w14:textOutline>
        </w:rPr>
        <w:t>e funcţie/salariilor de funcţie</w:t>
      </w:r>
      <w:r w:rsidRPr="00A25833">
        <w:rPr>
          <w:rFonts w:eastAsia="Arial Unicode MS"/>
          <w:iCs/>
          <w:sz w:val="24"/>
          <w:szCs w:val="24"/>
          <w:bdr w:val="nil"/>
          <w14:textOutline w14:w="0" w14:cap="flat" w14:cmpd="sng" w14:algn="ctr">
            <w14:noFill/>
            <w14:prstDash w14:val="solid"/>
            <w14:bevel/>
          </w14:textOutline>
        </w:rPr>
        <w:t xml:space="preserve"> </w:t>
      </w:r>
      <w:r w:rsidR="000B1BD5" w:rsidRPr="00A25833">
        <w:rPr>
          <w:rFonts w:eastAsia="Arial Unicode MS"/>
          <w:iCs/>
          <w:sz w:val="24"/>
          <w:szCs w:val="24"/>
          <w:bdr w:val="nil"/>
          <w14:textOutline w14:w="0" w14:cap="flat" w14:cmpd="sng" w14:algn="ctr">
            <w14:noFill/>
            <w14:prstDash w14:val="solid"/>
            <w14:bevel/>
          </w14:textOutline>
        </w:rPr>
        <w:t xml:space="preserve">și </w:t>
      </w:r>
      <w:r w:rsidRPr="00A25833">
        <w:rPr>
          <w:rFonts w:eastAsia="Arial Unicode MS"/>
          <w:iCs/>
          <w:sz w:val="24"/>
          <w:szCs w:val="24"/>
          <w:bdr w:val="nil"/>
          <w14:textOutline w14:w="0" w14:cap="flat" w14:cmpd="sng" w14:algn="ctr">
            <w14:noFill/>
            <w14:prstDash w14:val="solid"/>
            <w14:bevel/>
          </w14:textOutline>
        </w:rPr>
        <w:t>indemnizaţiilor de încadrare lunară de care beneficiază personalul plătit din fonduri publice se majorează cu 1/4 din diferenţa dintre salariul de bază</w:t>
      </w:r>
      <w:r w:rsidR="00525179" w:rsidRPr="00A25833">
        <w:rPr>
          <w:rFonts w:eastAsia="Arial Unicode MS"/>
          <w:iCs/>
          <w:sz w:val="24"/>
          <w:szCs w:val="24"/>
          <w:bdr w:val="nil"/>
          <w14:textOutline w14:w="0" w14:cap="flat" w14:cmpd="sng" w14:algn="ctr">
            <w14:noFill/>
            <w14:prstDash w14:val="solid"/>
            <w14:bevel/>
          </w14:textOutline>
        </w:rPr>
        <w:t>,</w:t>
      </w:r>
      <w:r w:rsidR="00525179" w:rsidRPr="00A25833">
        <w:rPr>
          <w:rFonts w:ascii="Times New Roman" w:eastAsiaTheme="minorHAnsi" w:hAnsi="Times New Roman"/>
          <w:noProof w:val="0"/>
          <w:sz w:val="28"/>
          <w:szCs w:val="28"/>
          <w:lang w:val="en-US"/>
        </w:rPr>
        <w:t xml:space="preserve"> </w:t>
      </w:r>
      <w:r w:rsidR="00525179" w:rsidRPr="00A25833">
        <w:rPr>
          <w:rFonts w:eastAsia="Arial Unicode MS"/>
          <w:iCs/>
          <w:sz w:val="24"/>
          <w:szCs w:val="24"/>
          <w:bdr w:val="nil"/>
          <w14:textOutline w14:w="0" w14:cap="flat" w14:cmpd="sng" w14:algn="ctr">
            <w14:noFill/>
            <w14:prstDash w14:val="solid"/>
            <w14:bevel/>
          </w14:textOutline>
        </w:rPr>
        <w:t xml:space="preserve">solda de funcţie/salariul de funcţie, indemnizaţia de încadrare </w:t>
      </w:r>
      <w:r w:rsidRPr="00A25833">
        <w:rPr>
          <w:rFonts w:eastAsia="Arial Unicode MS"/>
          <w:iCs/>
          <w:sz w:val="24"/>
          <w:szCs w:val="24"/>
          <w:bdr w:val="nil"/>
          <w14:textOutline w14:w="0" w14:cap="flat" w14:cmpd="sng" w14:algn="ctr">
            <w14:noFill/>
            <w14:prstDash w14:val="solid"/>
            <w14:bevel/>
          </w14:textOutline>
        </w:rPr>
        <w:t xml:space="preserve"> prevăzut de Legea-cadru nr. 153/2017, cu modificările şi completările ulterioare, pentru anul 2022 şi cel din luna decembrie 2021. </w:t>
      </w:r>
    </w:p>
    <w:p w:rsidR="00A06DBE" w:rsidRPr="00A25833" w:rsidRDefault="00A06DBE" w:rsidP="00EE2E7D">
      <w:pPr>
        <w:autoSpaceDE w:val="0"/>
        <w:autoSpaceDN w:val="0"/>
        <w:adjustRightInd w:val="0"/>
        <w:spacing w:line="240" w:lineRule="auto"/>
        <w:ind w:left="0"/>
        <w:rPr>
          <w:rFonts w:eastAsia="Arial Unicode MS"/>
          <w:iCs/>
          <w:sz w:val="24"/>
          <w:szCs w:val="24"/>
          <w:bdr w:val="nil"/>
          <w:lang w:val="en-US"/>
          <w14:textOutline w14:w="0" w14:cap="flat" w14:cmpd="sng" w14:algn="ctr">
            <w14:noFill/>
            <w14:prstDash w14:val="solid"/>
            <w14:bevel/>
          </w14:textOutline>
        </w:rPr>
      </w:pPr>
      <w:r w:rsidRPr="00A25833">
        <w:rPr>
          <w:rFonts w:eastAsia="Arial Unicode MS"/>
          <w:iCs/>
          <w:sz w:val="24"/>
          <w:szCs w:val="24"/>
          <w:bdr w:val="nil"/>
          <w14:textOutline w14:w="0" w14:cap="flat" w14:cmpd="sng" w14:algn="ctr">
            <w14:noFill/>
            <w14:prstDash w14:val="solid"/>
            <w14:bevel/>
          </w14:textOutline>
        </w:rPr>
        <w:t>(4</w:t>
      </w:r>
      <w:r w:rsidRPr="00A25833">
        <w:rPr>
          <w:rFonts w:eastAsia="Arial Unicode MS"/>
          <w:iCs/>
          <w:sz w:val="24"/>
          <w:szCs w:val="24"/>
          <w:bdr w:val="nil"/>
          <w:vertAlign w:val="superscript"/>
          <w14:textOutline w14:w="0" w14:cap="flat" w14:cmpd="sng" w14:algn="ctr">
            <w14:noFill/>
            <w14:prstDash w14:val="solid"/>
            <w14:bevel/>
          </w14:textOutline>
        </w:rPr>
        <w:t>2</w:t>
      </w:r>
      <w:r w:rsidRPr="00A25833">
        <w:rPr>
          <w:rFonts w:eastAsia="Arial Unicode MS"/>
          <w:iCs/>
          <w:sz w:val="24"/>
          <w:szCs w:val="24"/>
          <w:bdr w:val="nil"/>
          <w14:textOutline w14:w="0" w14:cap="flat" w14:cmpd="sng" w14:algn="ctr">
            <w14:noFill/>
            <w14:prstDash w14:val="solid"/>
            <w14:bevel/>
          </w14:textOutline>
        </w:rPr>
        <w:t xml:space="preserve">) </w:t>
      </w:r>
      <w:r w:rsidR="00CD2FE2" w:rsidRPr="00A25833">
        <w:rPr>
          <w:rFonts w:eastAsia="Arial Unicode MS"/>
          <w:iCs/>
          <w:sz w:val="24"/>
          <w:szCs w:val="24"/>
          <w:bdr w:val="nil"/>
          <w14:textOutline w14:w="0" w14:cap="flat" w14:cmpd="sng" w14:algn="ctr">
            <w14:noFill/>
            <w14:prstDash w14:val="solid"/>
            <w14:bevel/>
          </w14:textOutline>
        </w:rPr>
        <w:t>Prin derogare de la prevederile art.38 alin.(4) din Legea-cadru nr.153/2017, cu modificările și completările ulterioare, î</w:t>
      </w:r>
      <w:r w:rsidR="00CE2C5F" w:rsidRPr="00A25833">
        <w:rPr>
          <w:rFonts w:eastAsia="Arial Unicode MS"/>
          <w:iCs/>
          <w:sz w:val="24"/>
          <w:szCs w:val="24"/>
          <w:bdr w:val="nil"/>
          <w14:textOutline w14:w="0" w14:cap="flat" w14:cmpd="sng" w14:algn="ctr">
            <w14:noFill/>
            <w14:prstDash w14:val="solid"/>
            <w14:bevel/>
          </w14:textOutline>
        </w:rPr>
        <w:t>ncepând cu</w:t>
      </w:r>
      <w:r w:rsidR="00AC62A3" w:rsidRPr="00A25833">
        <w:rPr>
          <w:rFonts w:eastAsia="Arial Unicode MS"/>
          <w:iCs/>
          <w:sz w:val="24"/>
          <w:szCs w:val="24"/>
          <w:bdr w:val="nil"/>
          <w14:textOutline w14:w="0" w14:cap="flat" w14:cmpd="sng" w14:algn="ctr">
            <w14:noFill/>
            <w14:prstDash w14:val="solid"/>
            <w14:bevel/>
          </w14:textOutline>
        </w:rPr>
        <w:t xml:space="preserve"> luna august 2022</w:t>
      </w:r>
      <w:r w:rsidRPr="00A25833">
        <w:rPr>
          <w:rFonts w:eastAsia="Arial Unicode MS"/>
          <w:iCs/>
          <w:sz w:val="24"/>
          <w:szCs w:val="24"/>
          <w:bdr w:val="nil"/>
          <w14:textOutline w14:w="0" w14:cap="flat" w14:cmpd="sng" w14:algn="ctr">
            <w14:noFill/>
            <w14:prstDash w14:val="solid"/>
            <w14:bevel/>
          </w14:textOutline>
        </w:rPr>
        <w:t>, pentru personalul nou-încadrat, pentru personalul numit/încadrat în aceeași instituție/autoritate publică pe funcții de același fel, inclusiv pentru personalul promovat în funcții sau în grade/trepte profes</w:t>
      </w:r>
      <w:r w:rsidR="000706F1" w:rsidRPr="00A25833">
        <w:rPr>
          <w:rFonts w:eastAsia="Arial Unicode MS"/>
          <w:iCs/>
          <w:sz w:val="24"/>
          <w:szCs w:val="24"/>
          <w:bdr w:val="nil"/>
          <w14:textOutline w14:w="0" w14:cap="flat" w14:cmpd="sng" w14:algn="ctr">
            <w14:noFill/>
            <w14:prstDash w14:val="solid"/>
            <w14:bevel/>
          </w14:textOutline>
        </w:rPr>
        <w:t>ionale, în perioada ianuarie-iul</w:t>
      </w:r>
      <w:r w:rsidRPr="00A25833">
        <w:rPr>
          <w:rFonts w:eastAsia="Arial Unicode MS"/>
          <w:iCs/>
          <w:sz w:val="24"/>
          <w:szCs w:val="24"/>
          <w:bdr w:val="nil"/>
          <w14:textOutline w14:w="0" w14:cap="flat" w14:cmpd="sng" w14:algn="ctr">
            <w14:noFill/>
            <w14:prstDash w14:val="solid"/>
            <w14:bevel/>
          </w14:textOutline>
        </w:rPr>
        <w:t>ie 2022, cuantumul brut al salariilor de bază, soldelor d</w:t>
      </w:r>
      <w:r w:rsidR="000B1BD5" w:rsidRPr="00A25833">
        <w:rPr>
          <w:rFonts w:eastAsia="Arial Unicode MS"/>
          <w:iCs/>
          <w:sz w:val="24"/>
          <w:szCs w:val="24"/>
          <w:bdr w:val="nil"/>
          <w14:textOutline w14:w="0" w14:cap="flat" w14:cmpd="sng" w14:algn="ctr">
            <w14:noFill/>
            <w14:prstDash w14:val="solid"/>
            <w14:bevel/>
          </w14:textOutline>
        </w:rPr>
        <w:t>e funcţie/salariilor de funcţie și</w:t>
      </w:r>
      <w:r w:rsidRPr="00A25833">
        <w:rPr>
          <w:rFonts w:eastAsia="Arial Unicode MS"/>
          <w:iCs/>
          <w:sz w:val="24"/>
          <w:szCs w:val="24"/>
          <w:bdr w:val="nil"/>
          <w14:textOutline w14:w="0" w14:cap="flat" w14:cmpd="sng" w14:algn="ctr">
            <w14:noFill/>
            <w14:prstDash w14:val="solid"/>
            <w14:bevel/>
          </w14:textOutline>
        </w:rPr>
        <w:t xml:space="preserve"> indemnizaţiilor de încadrare lunară de care beneficiază aceste categorii de personal se majorează cu 1/4 din diferenţa dintre salariul de b</w:t>
      </w:r>
      <w:r w:rsidR="000B1BD5" w:rsidRPr="00A25833">
        <w:rPr>
          <w:rFonts w:eastAsia="Arial Unicode MS"/>
          <w:iCs/>
          <w:sz w:val="24"/>
          <w:szCs w:val="24"/>
          <w:bdr w:val="nil"/>
          <w14:textOutline w14:w="0" w14:cap="flat" w14:cmpd="sng" w14:algn="ctr">
            <w14:noFill/>
            <w14:prstDash w14:val="solid"/>
            <w14:bevel/>
          </w14:textOutline>
        </w:rPr>
        <w:t>ază</w:t>
      </w:r>
      <w:r w:rsidR="00525179" w:rsidRPr="00A25833">
        <w:rPr>
          <w:rFonts w:eastAsia="Arial Unicode MS"/>
          <w:iCs/>
          <w:sz w:val="24"/>
          <w:szCs w:val="24"/>
          <w:bdr w:val="nil"/>
          <w14:textOutline w14:w="0" w14:cap="flat" w14:cmpd="sng" w14:algn="ctr">
            <w14:noFill/>
            <w14:prstDash w14:val="solid"/>
            <w14:bevel/>
          </w14:textOutline>
        </w:rPr>
        <w:t>,</w:t>
      </w:r>
      <w:r w:rsidR="000B1BD5" w:rsidRPr="00A25833">
        <w:rPr>
          <w:rFonts w:eastAsia="Arial Unicode MS"/>
          <w:iCs/>
          <w:sz w:val="24"/>
          <w:szCs w:val="24"/>
          <w:bdr w:val="nil"/>
          <w14:textOutline w14:w="0" w14:cap="flat" w14:cmpd="sng" w14:algn="ctr">
            <w14:noFill/>
            <w14:prstDash w14:val="solid"/>
            <w14:bevel/>
          </w14:textOutline>
        </w:rPr>
        <w:t xml:space="preserve"> </w:t>
      </w:r>
      <w:r w:rsidR="00525179" w:rsidRPr="00A25833">
        <w:rPr>
          <w:rFonts w:eastAsia="Arial Unicode MS"/>
          <w:iCs/>
          <w:sz w:val="24"/>
          <w:szCs w:val="24"/>
          <w:bdr w:val="nil"/>
          <w14:textOutline w14:w="0" w14:cap="flat" w14:cmpd="sng" w14:algn="ctr">
            <w14:noFill/>
            <w14:prstDash w14:val="solid"/>
            <w14:bevel/>
          </w14:textOutline>
        </w:rPr>
        <w:t xml:space="preserve">solda de funcţie/salariul de funcţie, indemnizaţia de încadrare </w:t>
      </w:r>
      <w:r w:rsidR="000B1BD5" w:rsidRPr="00A25833">
        <w:rPr>
          <w:rFonts w:eastAsia="Arial Unicode MS"/>
          <w:iCs/>
          <w:sz w:val="24"/>
          <w:szCs w:val="24"/>
          <w:bdr w:val="nil"/>
          <w14:textOutline w14:w="0" w14:cap="flat" w14:cmpd="sng" w14:algn="ctr">
            <w14:noFill/>
            <w14:prstDash w14:val="solid"/>
            <w14:bevel/>
          </w14:textOutline>
        </w:rPr>
        <w:t>prevăzut de Legea-cadru nr.</w:t>
      </w:r>
      <w:r w:rsidRPr="00A25833">
        <w:rPr>
          <w:rFonts w:eastAsia="Arial Unicode MS"/>
          <w:iCs/>
          <w:sz w:val="24"/>
          <w:szCs w:val="24"/>
          <w:bdr w:val="nil"/>
          <w14:textOutline w14:w="0" w14:cap="flat" w14:cmpd="sng" w14:algn="ctr">
            <w14:noFill/>
            <w14:prstDash w14:val="solid"/>
            <w14:bevel/>
          </w14:textOutline>
        </w:rPr>
        <w:t>153/2017, cu modificările şi completările ulterioare, pent</w:t>
      </w:r>
      <w:r w:rsidR="003F52AD" w:rsidRPr="00A25833">
        <w:rPr>
          <w:rFonts w:eastAsia="Arial Unicode MS"/>
          <w:iCs/>
          <w:sz w:val="24"/>
          <w:szCs w:val="24"/>
          <w:bdr w:val="nil"/>
          <w14:textOutline w14:w="0" w14:cap="flat" w14:cmpd="sng" w14:algn="ctr">
            <w14:noFill/>
            <w14:prstDash w14:val="solid"/>
            <w14:bevel/>
          </w14:textOutline>
        </w:rPr>
        <w:t>ru anul 2022 şi cel din luna iul</w:t>
      </w:r>
      <w:r w:rsidRPr="00A25833">
        <w:rPr>
          <w:rFonts w:eastAsia="Arial Unicode MS"/>
          <w:iCs/>
          <w:sz w:val="24"/>
          <w:szCs w:val="24"/>
          <w:bdr w:val="nil"/>
          <w14:textOutline w14:w="0" w14:cap="flat" w14:cmpd="sng" w14:algn="ctr">
            <w14:noFill/>
            <w14:prstDash w14:val="solid"/>
            <w14:bevel/>
          </w14:textOutline>
        </w:rPr>
        <w:t>ie 2022.</w:t>
      </w:r>
      <w:r w:rsidR="007A1059" w:rsidRPr="00A25833">
        <w:rPr>
          <w:rFonts w:eastAsia="Arial Unicode MS"/>
          <w:iCs/>
          <w:sz w:val="24"/>
          <w:szCs w:val="24"/>
          <w:bdr w:val="nil"/>
          <w:lang w:val="en-US"/>
          <w14:textOutline w14:w="0" w14:cap="flat" w14:cmpd="sng" w14:algn="ctr">
            <w14:noFill/>
            <w14:prstDash w14:val="solid"/>
            <w14:bevel/>
          </w14:textOutline>
        </w:rPr>
        <w:t>”</w:t>
      </w:r>
    </w:p>
    <w:p w:rsidR="009119EC" w:rsidRPr="00A25833" w:rsidRDefault="009119EC" w:rsidP="00EE2E7D">
      <w:pPr>
        <w:autoSpaceDE w:val="0"/>
        <w:autoSpaceDN w:val="0"/>
        <w:adjustRightInd w:val="0"/>
        <w:spacing w:line="240" w:lineRule="auto"/>
        <w:ind w:left="0"/>
        <w:rPr>
          <w:rFonts w:eastAsia="Arial Unicode MS"/>
          <w:iCs/>
          <w:sz w:val="24"/>
          <w:szCs w:val="24"/>
          <w:bdr w:val="nil"/>
          <w:lang w:val="en-US"/>
          <w14:textOutline w14:w="0" w14:cap="flat" w14:cmpd="sng" w14:algn="ctr">
            <w14:noFill/>
            <w14:prstDash w14:val="solid"/>
            <w14:bevel/>
          </w14:textOutline>
        </w:rPr>
      </w:pPr>
    </w:p>
    <w:p w:rsidR="00535640" w:rsidRPr="00A25833" w:rsidRDefault="00855CF0" w:rsidP="009119EC">
      <w:pPr>
        <w:autoSpaceDE w:val="0"/>
        <w:autoSpaceDN w:val="0"/>
        <w:adjustRightInd w:val="0"/>
        <w:spacing w:after="0" w:line="240" w:lineRule="auto"/>
        <w:ind w:left="0"/>
        <w:rPr>
          <w:rFonts w:eastAsiaTheme="minorHAnsi"/>
          <w:sz w:val="24"/>
          <w:szCs w:val="24"/>
        </w:rPr>
      </w:pPr>
      <w:r w:rsidRPr="00A25833">
        <w:rPr>
          <w:rFonts w:eastAsiaTheme="minorHAnsi"/>
          <w:b/>
          <w:sz w:val="24"/>
          <w:szCs w:val="24"/>
        </w:rPr>
        <w:t>Art. III</w:t>
      </w:r>
      <w:r w:rsidR="00535640" w:rsidRPr="00A25833">
        <w:rPr>
          <w:rFonts w:eastAsiaTheme="minorHAnsi"/>
          <w:sz w:val="24"/>
          <w:szCs w:val="24"/>
        </w:rPr>
        <w:t xml:space="preserve"> </w:t>
      </w:r>
    </w:p>
    <w:p w:rsidR="00535640" w:rsidRPr="00A25833" w:rsidRDefault="00535640" w:rsidP="009119EC">
      <w:pPr>
        <w:autoSpaceDE w:val="0"/>
        <w:autoSpaceDN w:val="0"/>
        <w:adjustRightInd w:val="0"/>
        <w:spacing w:after="0" w:line="240" w:lineRule="auto"/>
        <w:ind w:left="0"/>
        <w:rPr>
          <w:rFonts w:eastAsiaTheme="minorHAnsi"/>
          <w:sz w:val="24"/>
          <w:szCs w:val="24"/>
        </w:rPr>
      </w:pPr>
    </w:p>
    <w:p w:rsidR="00327186" w:rsidRPr="00A25833" w:rsidRDefault="00855CF0" w:rsidP="009119EC">
      <w:pPr>
        <w:autoSpaceDE w:val="0"/>
        <w:autoSpaceDN w:val="0"/>
        <w:adjustRightInd w:val="0"/>
        <w:spacing w:after="0" w:line="240" w:lineRule="auto"/>
        <w:ind w:left="0"/>
        <w:rPr>
          <w:rFonts w:eastAsiaTheme="minorHAnsi"/>
          <w:sz w:val="24"/>
          <w:szCs w:val="24"/>
        </w:rPr>
      </w:pPr>
      <w:r w:rsidRPr="00A25833">
        <w:rPr>
          <w:rFonts w:eastAsiaTheme="minorHAnsi"/>
          <w:sz w:val="24"/>
          <w:szCs w:val="24"/>
        </w:rPr>
        <w:t>Aplicarea preved</w:t>
      </w:r>
      <w:r w:rsidR="00523DC1" w:rsidRPr="00A25833">
        <w:rPr>
          <w:rFonts w:eastAsiaTheme="minorHAnsi"/>
          <w:sz w:val="24"/>
          <w:szCs w:val="24"/>
        </w:rPr>
        <w:t xml:space="preserve">erilor articolelor I și II se </w:t>
      </w:r>
      <w:r w:rsidRPr="00A25833">
        <w:rPr>
          <w:rFonts w:eastAsiaTheme="minorHAnsi"/>
          <w:sz w:val="24"/>
          <w:szCs w:val="24"/>
        </w:rPr>
        <w:t xml:space="preserve">face cu încadrarea în </w:t>
      </w:r>
      <w:proofErr w:type="spellStart"/>
      <w:r w:rsidRPr="00A25833">
        <w:rPr>
          <w:rFonts w:eastAsiaTheme="minorHAnsi"/>
          <w:noProof w:val="0"/>
          <w:sz w:val="24"/>
          <w:szCs w:val="24"/>
          <w:lang w:val="en-GB"/>
        </w:rPr>
        <w:t>cheltuielile</w:t>
      </w:r>
      <w:proofErr w:type="spellEnd"/>
      <w:r w:rsidRPr="00A25833">
        <w:rPr>
          <w:rFonts w:eastAsiaTheme="minorHAnsi"/>
          <w:noProof w:val="0"/>
          <w:sz w:val="24"/>
          <w:szCs w:val="24"/>
          <w:lang w:val="en-GB"/>
        </w:rPr>
        <w:t xml:space="preserve"> de personal </w:t>
      </w:r>
      <w:proofErr w:type="spellStart"/>
      <w:r w:rsidRPr="00A25833">
        <w:rPr>
          <w:rFonts w:eastAsiaTheme="minorHAnsi"/>
          <w:noProof w:val="0"/>
          <w:sz w:val="24"/>
          <w:szCs w:val="24"/>
          <w:lang w:val="en-GB"/>
        </w:rPr>
        <w:t>aprobate</w:t>
      </w:r>
      <w:proofErr w:type="spellEnd"/>
      <w:r w:rsidRPr="00A25833">
        <w:rPr>
          <w:rFonts w:eastAsiaTheme="minorHAnsi"/>
          <w:noProof w:val="0"/>
          <w:sz w:val="24"/>
          <w:szCs w:val="24"/>
          <w:lang w:val="en-GB"/>
        </w:rPr>
        <w:t xml:space="preserve"> </w:t>
      </w:r>
      <w:proofErr w:type="spellStart"/>
      <w:r w:rsidRPr="00A25833">
        <w:rPr>
          <w:rFonts w:eastAsiaTheme="minorHAnsi"/>
          <w:noProof w:val="0"/>
          <w:sz w:val="24"/>
          <w:szCs w:val="24"/>
          <w:lang w:val="en-GB"/>
        </w:rPr>
        <w:t>prin</w:t>
      </w:r>
      <w:proofErr w:type="spellEnd"/>
      <w:r w:rsidRPr="00A25833">
        <w:rPr>
          <w:rFonts w:eastAsiaTheme="minorHAnsi"/>
          <w:noProof w:val="0"/>
          <w:sz w:val="24"/>
          <w:szCs w:val="24"/>
          <w:lang w:val="en-GB"/>
        </w:rPr>
        <w:t xml:space="preserve"> </w:t>
      </w:r>
      <w:proofErr w:type="spellStart"/>
      <w:r w:rsidRPr="00A25833">
        <w:rPr>
          <w:rFonts w:eastAsiaTheme="minorHAnsi"/>
          <w:noProof w:val="0"/>
          <w:sz w:val="24"/>
          <w:szCs w:val="24"/>
          <w:lang w:val="en-GB"/>
        </w:rPr>
        <w:t>buget</w:t>
      </w:r>
      <w:proofErr w:type="spellEnd"/>
      <w:r w:rsidRPr="00A25833">
        <w:rPr>
          <w:rFonts w:eastAsiaTheme="minorHAnsi"/>
          <w:sz w:val="24"/>
          <w:szCs w:val="24"/>
        </w:rPr>
        <w:t>, pe fiecare ordonator principal de credite</w:t>
      </w:r>
      <w:r w:rsidR="00523DC1" w:rsidRPr="00A25833">
        <w:rPr>
          <w:rFonts w:eastAsiaTheme="minorHAnsi"/>
          <w:sz w:val="24"/>
          <w:szCs w:val="24"/>
        </w:rPr>
        <w:t>.</w:t>
      </w:r>
    </w:p>
    <w:p w:rsidR="00523DC1" w:rsidRPr="00A25833" w:rsidRDefault="00523DC1" w:rsidP="009119EC">
      <w:pPr>
        <w:autoSpaceDE w:val="0"/>
        <w:autoSpaceDN w:val="0"/>
        <w:adjustRightInd w:val="0"/>
        <w:spacing w:after="0" w:line="240" w:lineRule="auto"/>
        <w:ind w:left="0"/>
        <w:rPr>
          <w:rFonts w:eastAsiaTheme="minorHAnsi"/>
          <w:noProof w:val="0"/>
          <w:sz w:val="24"/>
          <w:szCs w:val="24"/>
          <w:lang w:val="en-GB"/>
        </w:rPr>
      </w:pPr>
    </w:p>
    <w:p w:rsidR="00855CF0" w:rsidRPr="00A25833" w:rsidRDefault="00855CF0" w:rsidP="00983E0F">
      <w:pPr>
        <w:autoSpaceDE w:val="0"/>
        <w:autoSpaceDN w:val="0"/>
        <w:adjustRightInd w:val="0"/>
        <w:spacing w:after="0" w:line="240" w:lineRule="auto"/>
        <w:ind w:left="0"/>
        <w:jc w:val="left"/>
        <w:rPr>
          <w:rFonts w:eastAsiaTheme="minorHAnsi"/>
          <w:b/>
          <w:sz w:val="24"/>
          <w:szCs w:val="24"/>
        </w:rPr>
      </w:pPr>
    </w:p>
    <w:p w:rsidR="00855CF0" w:rsidRPr="00A25833" w:rsidRDefault="00855CF0" w:rsidP="00983E0F">
      <w:pPr>
        <w:autoSpaceDE w:val="0"/>
        <w:autoSpaceDN w:val="0"/>
        <w:adjustRightInd w:val="0"/>
        <w:spacing w:after="0" w:line="240" w:lineRule="auto"/>
        <w:ind w:left="0"/>
        <w:jc w:val="left"/>
        <w:rPr>
          <w:rFonts w:eastAsiaTheme="minorHAnsi"/>
          <w:b/>
          <w:sz w:val="24"/>
          <w:szCs w:val="24"/>
        </w:rPr>
      </w:pPr>
    </w:p>
    <w:p w:rsidR="00983E0F" w:rsidRPr="00A25833" w:rsidRDefault="00983E0F" w:rsidP="00983E0F">
      <w:pPr>
        <w:autoSpaceDE w:val="0"/>
        <w:autoSpaceDN w:val="0"/>
        <w:adjustRightInd w:val="0"/>
        <w:spacing w:after="0" w:line="240" w:lineRule="auto"/>
        <w:ind w:left="0"/>
        <w:jc w:val="left"/>
        <w:rPr>
          <w:rFonts w:eastAsiaTheme="minorHAnsi"/>
          <w:b/>
          <w:sz w:val="24"/>
          <w:szCs w:val="24"/>
        </w:rPr>
      </w:pPr>
      <w:r w:rsidRPr="00A25833">
        <w:rPr>
          <w:rFonts w:eastAsiaTheme="minorHAnsi"/>
          <w:b/>
          <w:sz w:val="24"/>
          <w:szCs w:val="24"/>
        </w:rPr>
        <w:t>Art.I</w:t>
      </w:r>
      <w:r w:rsidR="00855CF0" w:rsidRPr="00A25833">
        <w:rPr>
          <w:rFonts w:eastAsiaTheme="minorHAnsi"/>
          <w:b/>
          <w:sz w:val="24"/>
          <w:szCs w:val="24"/>
        </w:rPr>
        <w:t>V</w:t>
      </w:r>
    </w:p>
    <w:p w:rsidR="00983E0F" w:rsidRPr="00A25833" w:rsidRDefault="00983E0F" w:rsidP="00983E0F">
      <w:pPr>
        <w:autoSpaceDE w:val="0"/>
        <w:autoSpaceDN w:val="0"/>
        <w:adjustRightInd w:val="0"/>
        <w:spacing w:after="0" w:line="240" w:lineRule="auto"/>
        <w:ind w:left="0"/>
        <w:jc w:val="left"/>
        <w:rPr>
          <w:rFonts w:eastAsiaTheme="minorHAnsi"/>
          <w:sz w:val="24"/>
          <w:szCs w:val="24"/>
        </w:rPr>
      </w:pPr>
    </w:p>
    <w:p w:rsidR="00983E0F" w:rsidRPr="00A25833" w:rsidRDefault="00983E0F" w:rsidP="00983E0F">
      <w:pPr>
        <w:pStyle w:val="Default"/>
        <w:jc w:val="both"/>
        <w:rPr>
          <w:rFonts w:ascii="Trebuchet MS" w:eastAsia="Arial Unicode MS" w:hAnsi="Trebuchet MS"/>
          <w:iCs/>
          <w:noProof/>
          <w:color w:val="auto"/>
          <w:bdr w:val="nil"/>
          <w:lang w:val="ro-RO"/>
          <w14:textOutline w14:w="0" w14:cap="flat" w14:cmpd="sng" w14:algn="ctr">
            <w14:noFill/>
            <w14:prstDash w14:val="solid"/>
            <w14:bevel/>
          </w14:textOutline>
        </w:rPr>
      </w:pPr>
      <w:r w:rsidRPr="00A25833">
        <w:rPr>
          <w:rFonts w:ascii="Trebuchet MS" w:eastAsia="Arial Unicode MS" w:hAnsi="Trebuchet MS"/>
          <w:iCs/>
          <w:noProof/>
          <w:color w:val="auto"/>
          <w:bdr w:val="nil"/>
          <w:lang w:val="ro-RO"/>
          <w14:textOutline w14:w="0" w14:cap="flat" w14:cmpd="sng" w14:algn="ctr">
            <w14:noFill/>
            <w14:prstDash w14:val="solid"/>
            <w14:bevel/>
          </w14:textOutline>
        </w:rPr>
        <w:t xml:space="preserve">Legea nr. 7/2006 privind statutul funcționarului public parlamentar, republicată în Monitorul Oficial al României, Partea I, nr. 345 din 25 mai 2009, cu modificările și completările ulterioare, se modifică și se completează după cum urmează: </w:t>
      </w:r>
    </w:p>
    <w:p w:rsidR="00983E0F" w:rsidRPr="00A25833" w:rsidRDefault="00983E0F" w:rsidP="00983E0F">
      <w:pPr>
        <w:autoSpaceDE w:val="0"/>
        <w:autoSpaceDN w:val="0"/>
        <w:adjustRightInd w:val="0"/>
        <w:spacing w:after="0" w:line="240" w:lineRule="auto"/>
        <w:ind w:left="0"/>
        <w:rPr>
          <w:rFonts w:eastAsia="Arial Unicode MS"/>
          <w:iCs/>
          <w:sz w:val="24"/>
          <w:szCs w:val="24"/>
          <w:bdr w:val="nil"/>
          <w14:textOutline w14:w="0" w14:cap="flat" w14:cmpd="sng" w14:algn="ctr">
            <w14:noFill/>
            <w14:prstDash w14:val="solid"/>
            <w14:bevel/>
          </w14:textOutline>
        </w:rPr>
      </w:pPr>
    </w:p>
    <w:p w:rsidR="00983E0F" w:rsidRPr="00A25833" w:rsidRDefault="00D41057" w:rsidP="00983E0F">
      <w:pPr>
        <w:pStyle w:val="Default"/>
        <w:jc w:val="both"/>
        <w:rPr>
          <w:rFonts w:ascii="Trebuchet MS" w:eastAsia="Arial Unicode MS" w:hAnsi="Trebuchet MS"/>
          <w:iCs/>
          <w:noProof/>
          <w:color w:val="auto"/>
          <w:bdr w:val="nil"/>
          <w:lang w:val="ro-RO"/>
          <w14:textOutline w14:w="0" w14:cap="flat" w14:cmpd="sng" w14:algn="ctr">
            <w14:noFill/>
            <w14:prstDash w14:val="solid"/>
            <w14:bevel/>
          </w14:textOutline>
        </w:rPr>
      </w:pPr>
      <w:r w:rsidRPr="00A25833">
        <w:rPr>
          <w:rFonts w:ascii="Trebuchet MS" w:eastAsia="Arial Unicode MS" w:hAnsi="Trebuchet MS"/>
          <w:iCs/>
          <w:noProof/>
          <w:color w:val="auto"/>
          <w:bdr w:val="nil"/>
          <w:lang w:val="ro-RO"/>
          <w14:textOutline w14:w="0" w14:cap="flat" w14:cmpd="sng" w14:algn="ctr">
            <w14:noFill/>
            <w14:prstDash w14:val="solid"/>
            <w14:bevel/>
          </w14:textOutline>
        </w:rPr>
        <w:t>1</w:t>
      </w:r>
      <w:r w:rsidR="00983E0F" w:rsidRPr="00A25833">
        <w:rPr>
          <w:rFonts w:ascii="Trebuchet MS" w:eastAsia="Arial Unicode MS" w:hAnsi="Trebuchet MS"/>
          <w:iCs/>
          <w:noProof/>
          <w:color w:val="auto"/>
          <w:bdr w:val="nil"/>
          <w:lang w:val="ro-RO"/>
          <w14:textOutline w14:w="0" w14:cap="flat" w14:cmpd="sng" w14:algn="ctr">
            <w14:noFill/>
            <w14:prstDash w14:val="solid"/>
            <w14:bevel/>
          </w14:textOutline>
        </w:rPr>
        <w:t>. După articolul 58 se introduce un nou articol, art. 58</w:t>
      </w:r>
      <w:r w:rsidR="00983E0F" w:rsidRPr="00A25833">
        <w:rPr>
          <w:rFonts w:ascii="Trebuchet MS" w:eastAsia="Arial Unicode MS" w:hAnsi="Trebuchet MS"/>
          <w:iCs/>
          <w:noProof/>
          <w:color w:val="auto"/>
          <w:bdr w:val="nil"/>
          <w:vertAlign w:val="superscript"/>
          <w:lang w:val="ro-RO"/>
          <w14:textOutline w14:w="0" w14:cap="flat" w14:cmpd="sng" w14:algn="ctr">
            <w14:noFill/>
            <w14:prstDash w14:val="solid"/>
            <w14:bevel/>
          </w14:textOutline>
        </w:rPr>
        <w:t>1</w:t>
      </w:r>
      <w:r w:rsidR="00983E0F" w:rsidRPr="00A25833">
        <w:rPr>
          <w:rFonts w:ascii="Trebuchet MS" w:eastAsia="Arial Unicode MS" w:hAnsi="Trebuchet MS"/>
          <w:iCs/>
          <w:noProof/>
          <w:color w:val="auto"/>
          <w:bdr w:val="nil"/>
          <w:lang w:val="ro-RO"/>
          <w14:textOutline w14:w="0" w14:cap="flat" w14:cmpd="sng" w14:algn="ctr">
            <w14:noFill/>
            <w14:prstDash w14:val="solid"/>
            <w14:bevel/>
          </w14:textOutline>
        </w:rPr>
        <w:t xml:space="preserve">, cu următorul cuprins: </w:t>
      </w:r>
    </w:p>
    <w:p w:rsidR="00983E0F" w:rsidRPr="00A25833" w:rsidRDefault="00983E0F" w:rsidP="00983E0F">
      <w:pPr>
        <w:pStyle w:val="Default"/>
        <w:jc w:val="both"/>
        <w:rPr>
          <w:rFonts w:ascii="Trebuchet MS" w:eastAsia="Arial Unicode MS" w:hAnsi="Trebuchet MS"/>
          <w:iCs/>
          <w:noProof/>
          <w:color w:val="auto"/>
          <w:bdr w:val="nil"/>
          <w:lang w:val="ro-RO"/>
          <w14:textOutline w14:w="0" w14:cap="flat" w14:cmpd="sng" w14:algn="ctr">
            <w14:noFill/>
            <w14:prstDash w14:val="solid"/>
            <w14:bevel/>
          </w14:textOutline>
        </w:rPr>
      </w:pPr>
      <w:r w:rsidRPr="00A25833">
        <w:rPr>
          <w:rFonts w:ascii="Trebuchet MS" w:eastAsia="Arial Unicode MS" w:hAnsi="Trebuchet MS"/>
          <w:iCs/>
          <w:noProof/>
          <w:color w:val="auto"/>
          <w:bdr w:val="nil"/>
          <w:lang w:val="ro-RO"/>
          <w14:textOutline w14:w="0" w14:cap="flat" w14:cmpd="sng" w14:algn="ctr">
            <w14:noFill/>
            <w14:prstDash w14:val="solid"/>
            <w14:bevel/>
          </w14:textOutline>
        </w:rPr>
        <w:t>„Art. 58</w:t>
      </w:r>
      <w:r w:rsidRPr="00A25833">
        <w:rPr>
          <w:rFonts w:ascii="Trebuchet MS" w:eastAsia="Arial Unicode MS" w:hAnsi="Trebuchet MS"/>
          <w:iCs/>
          <w:noProof/>
          <w:color w:val="auto"/>
          <w:bdr w:val="nil"/>
          <w:vertAlign w:val="superscript"/>
          <w:lang w:val="ro-RO"/>
          <w14:textOutline w14:w="0" w14:cap="flat" w14:cmpd="sng" w14:algn="ctr">
            <w14:noFill/>
            <w14:prstDash w14:val="solid"/>
            <w14:bevel/>
          </w14:textOutline>
        </w:rPr>
        <w:t>1</w:t>
      </w:r>
      <w:r w:rsidRPr="00A25833">
        <w:rPr>
          <w:rFonts w:ascii="Trebuchet MS" w:eastAsia="Arial Unicode MS" w:hAnsi="Trebuchet MS"/>
          <w:iCs/>
          <w:noProof/>
          <w:color w:val="auto"/>
          <w:bdr w:val="nil"/>
          <w:lang w:val="ro-RO"/>
          <w14:textOutline w14:w="0" w14:cap="flat" w14:cmpd="sng" w14:algn="ctr">
            <w14:noFill/>
            <w14:prstDash w14:val="solid"/>
            <w14:bevel/>
          </w14:textOutline>
        </w:rPr>
        <w:t xml:space="preserve">. – (1) Detașarea sau transferul funcționarului public parlamentar se dispune doar în cadrul autorităților publice sau al instituțiilor publice cărora li se aplică prezenta lege. </w:t>
      </w:r>
    </w:p>
    <w:p w:rsidR="00983E0F" w:rsidRPr="00A25833" w:rsidRDefault="00983E0F" w:rsidP="00983E0F">
      <w:pPr>
        <w:pStyle w:val="Default"/>
        <w:jc w:val="both"/>
        <w:rPr>
          <w:rFonts w:ascii="Trebuchet MS" w:eastAsia="Arial Unicode MS" w:hAnsi="Trebuchet MS"/>
          <w:iCs/>
          <w:noProof/>
          <w:color w:val="auto"/>
          <w:bdr w:val="nil"/>
          <w:lang w:val="ro-RO"/>
          <w14:textOutline w14:w="0" w14:cap="flat" w14:cmpd="sng" w14:algn="ctr">
            <w14:noFill/>
            <w14:prstDash w14:val="solid"/>
            <w14:bevel/>
          </w14:textOutline>
        </w:rPr>
      </w:pPr>
      <w:r w:rsidRPr="00A25833">
        <w:rPr>
          <w:rFonts w:ascii="Trebuchet MS" w:eastAsia="Arial Unicode MS" w:hAnsi="Trebuchet MS"/>
          <w:iCs/>
          <w:noProof/>
          <w:color w:val="auto"/>
          <w:bdr w:val="nil"/>
          <w:lang w:val="ro-RO"/>
          <w14:textOutline w14:w="0" w14:cap="flat" w14:cmpd="sng" w14:algn="ctr">
            <w14:noFill/>
            <w14:prstDash w14:val="solid"/>
            <w14:bevel/>
          </w14:textOutline>
        </w:rPr>
        <w:t xml:space="preserve">(2) Prin excepție de la prevederile alin.(1), detaşarea sau transferul se poate dispune de pe funcția publică parlamentară şi pe o funcție publică generală, cu respectarea condițiilor </w:t>
      </w:r>
      <w:r w:rsidR="00B311BD" w:rsidRPr="00A25833">
        <w:rPr>
          <w:rFonts w:ascii="Trebuchet MS" w:eastAsia="Arial Unicode MS" w:hAnsi="Trebuchet MS"/>
          <w:iCs/>
          <w:noProof/>
          <w:color w:val="auto"/>
          <w:bdr w:val="nil"/>
          <w:lang w:val="ro-RO"/>
          <w14:textOutline w14:w="0" w14:cap="flat" w14:cmpd="sng" w14:algn="ctr">
            <w14:noFill/>
            <w14:prstDash w14:val="solid"/>
            <w14:bevel/>
          </w14:textOutline>
        </w:rPr>
        <w:t>legislației aplicabile statutului funcționarilor publici</w:t>
      </w:r>
      <w:r w:rsidRPr="00A25833">
        <w:rPr>
          <w:rFonts w:ascii="Trebuchet MS" w:eastAsia="Arial Unicode MS" w:hAnsi="Trebuchet MS"/>
          <w:iCs/>
          <w:noProof/>
          <w:color w:val="auto"/>
          <w:bdr w:val="nil"/>
          <w:lang w:val="ro-RO"/>
          <w14:textOutline w14:w="0" w14:cap="flat" w14:cmpd="sng" w14:algn="ctr">
            <w14:noFill/>
            <w14:prstDash w14:val="solid"/>
            <w14:bevel/>
          </w14:textOutline>
        </w:rPr>
        <w:t xml:space="preserve">. </w:t>
      </w:r>
    </w:p>
    <w:p w:rsidR="00983E0F" w:rsidRPr="00A25833" w:rsidRDefault="00983E0F" w:rsidP="00983E0F">
      <w:pPr>
        <w:autoSpaceDE w:val="0"/>
        <w:autoSpaceDN w:val="0"/>
        <w:adjustRightInd w:val="0"/>
        <w:spacing w:after="0" w:line="240" w:lineRule="auto"/>
        <w:ind w:left="0"/>
        <w:rPr>
          <w:rFonts w:eastAsia="Arial Unicode MS"/>
          <w:iCs/>
          <w:sz w:val="24"/>
          <w:szCs w:val="24"/>
          <w:bdr w:val="nil"/>
          <w14:textOutline w14:w="0" w14:cap="flat" w14:cmpd="sng" w14:algn="ctr">
            <w14:noFill/>
            <w14:prstDash w14:val="solid"/>
            <w14:bevel/>
          </w14:textOutline>
        </w:rPr>
      </w:pPr>
      <w:r w:rsidRPr="00A25833">
        <w:rPr>
          <w:rFonts w:eastAsia="Arial Unicode MS"/>
          <w:iCs/>
          <w:sz w:val="24"/>
          <w:szCs w:val="24"/>
          <w:bdr w:val="nil"/>
          <w14:textOutline w14:w="0" w14:cap="flat" w14:cmpd="sng" w14:algn="ctr">
            <w14:noFill/>
            <w14:prstDash w14:val="solid"/>
            <w14:bevel/>
          </w14:textOutline>
        </w:rPr>
        <w:t>(3) Vechimea minimă în specialitate necesară funcțiilor publice parlamentare de execuție în vederea detaşării sau transferului în condiţiile alin. (2) se stabileşte de către birourile permanente reunite ale celor două Camere, la propunerea secretarilor generali ai Camerei Deputaţilor şi Senatului, iar echivalarea acestora cu funcțiile publice generale este prevăzută în anexa nr. 2, care face parte integrantă din prezenta lege.”</w:t>
      </w:r>
    </w:p>
    <w:p w:rsidR="00983E0F" w:rsidRPr="00A25833" w:rsidRDefault="00983E0F" w:rsidP="00983E0F">
      <w:pPr>
        <w:autoSpaceDE w:val="0"/>
        <w:autoSpaceDN w:val="0"/>
        <w:adjustRightInd w:val="0"/>
        <w:spacing w:after="0" w:line="240" w:lineRule="auto"/>
        <w:ind w:left="0"/>
        <w:rPr>
          <w:rFonts w:eastAsia="Arial Unicode MS"/>
          <w:iCs/>
          <w:sz w:val="24"/>
          <w:szCs w:val="24"/>
          <w:bdr w:val="nil"/>
          <w14:textOutline w14:w="0" w14:cap="flat" w14:cmpd="sng" w14:algn="ctr">
            <w14:noFill/>
            <w14:prstDash w14:val="solid"/>
            <w14:bevel/>
          </w14:textOutline>
        </w:rPr>
      </w:pPr>
    </w:p>
    <w:p w:rsidR="00983E0F" w:rsidRPr="00A25833" w:rsidRDefault="00983E0F" w:rsidP="00983E0F">
      <w:pPr>
        <w:autoSpaceDE w:val="0"/>
        <w:autoSpaceDN w:val="0"/>
        <w:adjustRightInd w:val="0"/>
        <w:spacing w:after="0" w:line="240" w:lineRule="auto"/>
        <w:ind w:left="0"/>
        <w:rPr>
          <w:rFonts w:eastAsia="Arial Unicode MS"/>
          <w:iCs/>
          <w:sz w:val="24"/>
          <w:szCs w:val="24"/>
          <w:bdr w:val="nil"/>
          <w14:textOutline w14:w="0" w14:cap="flat" w14:cmpd="sng" w14:algn="ctr">
            <w14:noFill/>
            <w14:prstDash w14:val="solid"/>
            <w14:bevel/>
          </w14:textOutline>
        </w:rPr>
      </w:pPr>
    </w:p>
    <w:p w:rsidR="00983E0F" w:rsidRPr="00A25833" w:rsidRDefault="00D41057" w:rsidP="00983E0F">
      <w:pPr>
        <w:autoSpaceDE w:val="0"/>
        <w:autoSpaceDN w:val="0"/>
        <w:adjustRightInd w:val="0"/>
        <w:spacing w:after="0" w:line="240" w:lineRule="auto"/>
        <w:ind w:left="0"/>
        <w:rPr>
          <w:rFonts w:eastAsia="Arial Unicode MS"/>
          <w:iCs/>
          <w:sz w:val="24"/>
          <w:szCs w:val="24"/>
          <w:bdr w:val="nil"/>
          <w14:textOutline w14:w="0" w14:cap="flat" w14:cmpd="sng" w14:algn="ctr">
            <w14:noFill/>
            <w14:prstDash w14:val="solid"/>
            <w14:bevel/>
          </w14:textOutline>
        </w:rPr>
      </w:pPr>
      <w:r w:rsidRPr="00A25833">
        <w:rPr>
          <w:rFonts w:eastAsia="Arial Unicode MS"/>
          <w:iCs/>
          <w:sz w:val="24"/>
          <w:szCs w:val="24"/>
          <w:bdr w:val="nil"/>
          <w14:textOutline w14:w="0" w14:cap="flat" w14:cmpd="sng" w14:algn="ctr">
            <w14:noFill/>
            <w14:prstDash w14:val="solid"/>
            <w14:bevel/>
          </w14:textOutline>
        </w:rPr>
        <w:t>2</w:t>
      </w:r>
      <w:r w:rsidR="00983E0F" w:rsidRPr="00A25833">
        <w:rPr>
          <w:rFonts w:eastAsia="Arial Unicode MS"/>
          <w:iCs/>
          <w:sz w:val="24"/>
          <w:szCs w:val="24"/>
          <w:bdr w:val="nil"/>
          <w14:textOutline w14:w="0" w14:cap="flat" w14:cmpd="sng" w14:algn="ctr">
            <w14:noFill/>
            <w14:prstDash w14:val="solid"/>
            <w14:bevel/>
          </w14:textOutline>
        </w:rPr>
        <w:t xml:space="preserve">. După anexă se introduce o nouă anexă, anexa nr. 2, având cuprinsul prevăzut în anexa la prezenta </w:t>
      </w:r>
      <w:r w:rsidR="00700B65" w:rsidRPr="00A25833">
        <w:rPr>
          <w:rFonts w:eastAsia="Arial Unicode MS"/>
          <w:iCs/>
          <w:sz w:val="24"/>
          <w:szCs w:val="24"/>
          <w:bdr w:val="nil"/>
          <w14:textOutline w14:w="0" w14:cap="flat" w14:cmpd="sng" w14:algn="ctr">
            <w14:noFill/>
            <w14:prstDash w14:val="solid"/>
            <w14:bevel/>
          </w14:textOutline>
        </w:rPr>
        <w:t>ordonanță de urgență</w:t>
      </w:r>
      <w:r w:rsidR="00983E0F" w:rsidRPr="00A25833">
        <w:rPr>
          <w:rFonts w:eastAsia="Arial Unicode MS"/>
          <w:iCs/>
          <w:sz w:val="24"/>
          <w:szCs w:val="24"/>
          <w:bdr w:val="nil"/>
          <w14:textOutline w14:w="0" w14:cap="flat" w14:cmpd="sng" w14:algn="ctr">
            <w14:noFill/>
            <w14:prstDash w14:val="solid"/>
            <w14:bevel/>
          </w14:textOutline>
        </w:rPr>
        <w:t>.</w:t>
      </w:r>
    </w:p>
    <w:p w:rsidR="0074101E" w:rsidRPr="00A25833" w:rsidRDefault="0074101E" w:rsidP="00983E0F">
      <w:pPr>
        <w:autoSpaceDE w:val="0"/>
        <w:autoSpaceDN w:val="0"/>
        <w:adjustRightInd w:val="0"/>
        <w:spacing w:after="0" w:line="240" w:lineRule="auto"/>
        <w:ind w:left="0"/>
        <w:jc w:val="left"/>
        <w:rPr>
          <w:sz w:val="30"/>
          <w:szCs w:val="30"/>
        </w:rPr>
      </w:pPr>
    </w:p>
    <w:p w:rsidR="00142BB4" w:rsidRPr="00A25833" w:rsidRDefault="00142BB4" w:rsidP="00983E0F">
      <w:pPr>
        <w:autoSpaceDE w:val="0"/>
        <w:autoSpaceDN w:val="0"/>
        <w:adjustRightInd w:val="0"/>
        <w:spacing w:after="0" w:line="240" w:lineRule="auto"/>
        <w:ind w:left="0"/>
        <w:jc w:val="left"/>
        <w:rPr>
          <w:sz w:val="30"/>
          <w:szCs w:val="30"/>
        </w:rPr>
      </w:pPr>
    </w:p>
    <w:p w:rsidR="00142BB4" w:rsidRPr="00A25833" w:rsidRDefault="00142BB4" w:rsidP="00983E0F">
      <w:pPr>
        <w:autoSpaceDE w:val="0"/>
        <w:autoSpaceDN w:val="0"/>
        <w:adjustRightInd w:val="0"/>
        <w:spacing w:after="0" w:line="240" w:lineRule="auto"/>
        <w:ind w:left="0"/>
        <w:jc w:val="left"/>
        <w:rPr>
          <w:sz w:val="30"/>
          <w:szCs w:val="30"/>
        </w:rPr>
      </w:pPr>
    </w:p>
    <w:p w:rsidR="00142BB4" w:rsidRPr="00A25833" w:rsidRDefault="00142BB4" w:rsidP="00983E0F">
      <w:pPr>
        <w:autoSpaceDE w:val="0"/>
        <w:autoSpaceDN w:val="0"/>
        <w:adjustRightInd w:val="0"/>
        <w:spacing w:after="0" w:line="240" w:lineRule="auto"/>
        <w:ind w:left="0"/>
        <w:jc w:val="left"/>
        <w:rPr>
          <w:sz w:val="30"/>
          <w:szCs w:val="30"/>
        </w:rPr>
      </w:pPr>
    </w:p>
    <w:p w:rsidR="008546D6" w:rsidRPr="00A25833" w:rsidRDefault="008546D6" w:rsidP="008546D6">
      <w:pPr>
        <w:spacing w:after="0" w:line="240" w:lineRule="auto"/>
        <w:ind w:left="0"/>
        <w:jc w:val="center"/>
        <w:rPr>
          <w:rFonts w:eastAsiaTheme="minorHAnsi"/>
          <w:b/>
          <w:sz w:val="24"/>
          <w:szCs w:val="24"/>
        </w:rPr>
      </w:pPr>
      <w:r w:rsidRPr="00A25833">
        <w:rPr>
          <w:b/>
          <w:sz w:val="24"/>
          <w:szCs w:val="24"/>
        </w:rPr>
        <w:t>PRIM MINISTRU</w:t>
      </w:r>
    </w:p>
    <w:p w:rsidR="00142BB4" w:rsidRPr="00A25833" w:rsidRDefault="008546D6" w:rsidP="009119EC">
      <w:pPr>
        <w:spacing w:after="0" w:line="240" w:lineRule="auto"/>
        <w:ind w:left="0"/>
        <w:jc w:val="center"/>
        <w:rPr>
          <w:sz w:val="24"/>
          <w:szCs w:val="24"/>
        </w:rPr>
      </w:pPr>
      <w:r w:rsidRPr="00A25833">
        <w:rPr>
          <w:b/>
          <w:sz w:val="24"/>
          <w:szCs w:val="24"/>
        </w:rPr>
        <w:t>NICOLAE-IONEL CIUCĂ</w:t>
      </w:r>
    </w:p>
    <w:p w:rsidR="00142BB4" w:rsidRPr="00A25833" w:rsidRDefault="00142BB4" w:rsidP="00983E0F">
      <w:pPr>
        <w:autoSpaceDE w:val="0"/>
        <w:autoSpaceDN w:val="0"/>
        <w:adjustRightInd w:val="0"/>
        <w:spacing w:after="0" w:line="240" w:lineRule="auto"/>
        <w:ind w:left="0"/>
        <w:jc w:val="left"/>
        <w:rPr>
          <w:sz w:val="30"/>
          <w:szCs w:val="30"/>
        </w:rPr>
      </w:pPr>
    </w:p>
    <w:p w:rsidR="00D41057" w:rsidRPr="00A25833" w:rsidRDefault="00D41057" w:rsidP="00983E0F">
      <w:pPr>
        <w:autoSpaceDE w:val="0"/>
        <w:autoSpaceDN w:val="0"/>
        <w:adjustRightInd w:val="0"/>
        <w:spacing w:after="0" w:line="240" w:lineRule="auto"/>
        <w:ind w:left="0"/>
        <w:jc w:val="left"/>
        <w:rPr>
          <w:sz w:val="30"/>
          <w:szCs w:val="30"/>
        </w:rPr>
      </w:pPr>
    </w:p>
    <w:p w:rsidR="00D41057" w:rsidRPr="00A25833" w:rsidRDefault="00D41057" w:rsidP="00983E0F">
      <w:pPr>
        <w:autoSpaceDE w:val="0"/>
        <w:autoSpaceDN w:val="0"/>
        <w:adjustRightInd w:val="0"/>
        <w:spacing w:after="0" w:line="240" w:lineRule="auto"/>
        <w:ind w:left="0"/>
        <w:jc w:val="left"/>
        <w:rPr>
          <w:sz w:val="30"/>
          <w:szCs w:val="30"/>
        </w:rPr>
      </w:pPr>
    </w:p>
    <w:p w:rsidR="00D41057" w:rsidRPr="00A25833" w:rsidRDefault="00D41057" w:rsidP="00983E0F">
      <w:pPr>
        <w:autoSpaceDE w:val="0"/>
        <w:autoSpaceDN w:val="0"/>
        <w:adjustRightInd w:val="0"/>
        <w:spacing w:after="0" w:line="240" w:lineRule="auto"/>
        <w:ind w:left="0"/>
        <w:jc w:val="left"/>
        <w:rPr>
          <w:sz w:val="30"/>
          <w:szCs w:val="30"/>
        </w:rPr>
      </w:pPr>
    </w:p>
    <w:p w:rsidR="00AC50BD" w:rsidRPr="00A25833" w:rsidRDefault="00AC50BD">
      <w:pPr>
        <w:spacing w:after="160" w:line="259" w:lineRule="auto"/>
        <w:ind w:left="0"/>
        <w:jc w:val="left"/>
        <w:rPr>
          <w:sz w:val="30"/>
          <w:szCs w:val="30"/>
        </w:rPr>
      </w:pPr>
      <w:r w:rsidRPr="00A25833">
        <w:rPr>
          <w:sz w:val="30"/>
          <w:szCs w:val="30"/>
        </w:rPr>
        <w:br w:type="page"/>
      </w:r>
    </w:p>
    <w:p w:rsidR="00D41057" w:rsidRPr="00A25833" w:rsidRDefault="00D41057" w:rsidP="00983E0F">
      <w:pPr>
        <w:autoSpaceDE w:val="0"/>
        <w:autoSpaceDN w:val="0"/>
        <w:adjustRightInd w:val="0"/>
        <w:spacing w:after="0" w:line="240" w:lineRule="auto"/>
        <w:ind w:left="0"/>
        <w:jc w:val="left"/>
        <w:rPr>
          <w:sz w:val="30"/>
          <w:szCs w:val="30"/>
        </w:rPr>
      </w:pPr>
    </w:p>
    <w:p w:rsidR="00D41057" w:rsidRPr="00A25833" w:rsidRDefault="00D41057" w:rsidP="00983E0F">
      <w:pPr>
        <w:autoSpaceDE w:val="0"/>
        <w:autoSpaceDN w:val="0"/>
        <w:adjustRightInd w:val="0"/>
        <w:spacing w:after="0" w:line="240" w:lineRule="auto"/>
        <w:ind w:left="0"/>
        <w:jc w:val="left"/>
        <w:rPr>
          <w:sz w:val="30"/>
          <w:szCs w:val="30"/>
        </w:rPr>
      </w:pPr>
    </w:p>
    <w:p w:rsidR="00754E2D" w:rsidRPr="00A25833" w:rsidRDefault="00754E2D" w:rsidP="00983E0F">
      <w:pPr>
        <w:autoSpaceDE w:val="0"/>
        <w:autoSpaceDN w:val="0"/>
        <w:adjustRightInd w:val="0"/>
        <w:spacing w:after="0" w:line="240" w:lineRule="auto"/>
        <w:ind w:left="0"/>
        <w:jc w:val="left"/>
        <w:rPr>
          <w:sz w:val="30"/>
          <w:szCs w:val="30"/>
        </w:rPr>
      </w:pPr>
    </w:p>
    <w:p w:rsidR="00983E0F" w:rsidRPr="00A25833" w:rsidRDefault="00983E0F" w:rsidP="00983E0F">
      <w:pPr>
        <w:pStyle w:val="Default"/>
        <w:jc w:val="right"/>
        <w:rPr>
          <w:rFonts w:ascii="Trebuchet MS" w:hAnsi="Trebuchet MS"/>
          <w:b/>
          <w:bCs/>
          <w:i/>
          <w:iCs/>
          <w:color w:val="auto"/>
          <w:lang w:val="ro-RO"/>
        </w:rPr>
      </w:pPr>
      <w:r w:rsidRPr="00A25833">
        <w:rPr>
          <w:rFonts w:ascii="Trebuchet MS" w:hAnsi="Trebuchet MS"/>
          <w:b/>
          <w:bCs/>
          <w:i/>
          <w:iCs/>
          <w:color w:val="auto"/>
          <w:lang w:val="ro-RO"/>
        </w:rPr>
        <w:t xml:space="preserve">ANEXĂ </w:t>
      </w:r>
    </w:p>
    <w:p w:rsidR="00B85EF2" w:rsidRPr="00A25833" w:rsidRDefault="00B85EF2" w:rsidP="00983E0F">
      <w:pPr>
        <w:pStyle w:val="Default"/>
        <w:jc w:val="right"/>
        <w:rPr>
          <w:rFonts w:ascii="Trebuchet MS" w:hAnsi="Trebuchet MS"/>
          <w:color w:val="auto"/>
          <w:lang w:val="ro-RO"/>
        </w:rPr>
      </w:pPr>
    </w:p>
    <w:p w:rsidR="00983E0F" w:rsidRPr="00A25833" w:rsidRDefault="00983E0F" w:rsidP="00983E0F">
      <w:pPr>
        <w:pStyle w:val="Default"/>
        <w:jc w:val="center"/>
        <w:rPr>
          <w:rFonts w:ascii="Trebuchet MS" w:hAnsi="Trebuchet MS"/>
          <w:i/>
          <w:iCs/>
          <w:color w:val="auto"/>
          <w:lang w:val="ro-RO"/>
        </w:rPr>
      </w:pPr>
      <w:r w:rsidRPr="00A25833">
        <w:rPr>
          <w:rFonts w:ascii="Trebuchet MS" w:hAnsi="Trebuchet MS"/>
          <w:i/>
          <w:iCs/>
          <w:color w:val="auto"/>
          <w:lang w:val="ro-RO"/>
        </w:rPr>
        <w:t>(Anexa nr. 2 la Legea nr.7/2006 privind statutul funcţionarului public parlamentar)</w:t>
      </w:r>
    </w:p>
    <w:p w:rsidR="00983E0F" w:rsidRPr="00A25833" w:rsidRDefault="00983E0F" w:rsidP="00983E0F">
      <w:pPr>
        <w:pStyle w:val="Default"/>
        <w:jc w:val="center"/>
        <w:rPr>
          <w:rFonts w:ascii="Trebuchet MS" w:hAnsi="Trebuchet MS"/>
          <w:color w:val="auto"/>
          <w:lang w:val="ro-RO"/>
        </w:rPr>
      </w:pPr>
    </w:p>
    <w:p w:rsidR="00983E0F" w:rsidRPr="00A25833" w:rsidRDefault="00983E0F" w:rsidP="00983E0F">
      <w:pPr>
        <w:autoSpaceDE w:val="0"/>
        <w:autoSpaceDN w:val="0"/>
        <w:adjustRightInd w:val="0"/>
        <w:spacing w:after="0" w:line="240" w:lineRule="auto"/>
        <w:ind w:left="0"/>
        <w:jc w:val="center"/>
        <w:rPr>
          <w:sz w:val="24"/>
          <w:szCs w:val="24"/>
        </w:rPr>
      </w:pPr>
      <w:r w:rsidRPr="00A25833">
        <w:rPr>
          <w:b/>
          <w:bCs/>
          <w:sz w:val="24"/>
          <w:szCs w:val="24"/>
        </w:rPr>
        <w:t>Echivalarea funcţiilor publice parlamentare cu funcţii publice generale</w:t>
      </w:r>
    </w:p>
    <w:p w:rsidR="00983E0F" w:rsidRPr="00A25833" w:rsidRDefault="00983E0F" w:rsidP="00983E0F">
      <w:pPr>
        <w:autoSpaceDE w:val="0"/>
        <w:autoSpaceDN w:val="0"/>
        <w:adjustRightInd w:val="0"/>
        <w:spacing w:after="0" w:line="240" w:lineRule="auto"/>
        <w:ind w:left="0"/>
        <w:jc w:val="center"/>
        <w:rPr>
          <w:sz w:val="24"/>
          <w:szCs w:val="24"/>
        </w:rPr>
      </w:pPr>
    </w:p>
    <w:p w:rsidR="00983E0F" w:rsidRPr="00A25833" w:rsidRDefault="00983E0F" w:rsidP="00983E0F">
      <w:pPr>
        <w:autoSpaceDE w:val="0"/>
        <w:autoSpaceDN w:val="0"/>
        <w:adjustRightInd w:val="0"/>
        <w:spacing w:after="0" w:line="240" w:lineRule="auto"/>
        <w:ind w:left="0"/>
        <w:jc w:val="center"/>
        <w:rPr>
          <w:sz w:val="24"/>
          <w:szCs w:val="24"/>
        </w:rPr>
      </w:pPr>
    </w:p>
    <w:p w:rsidR="00983E0F" w:rsidRPr="00A25833" w:rsidRDefault="00983E0F" w:rsidP="00983E0F">
      <w:pPr>
        <w:autoSpaceDE w:val="0"/>
        <w:autoSpaceDN w:val="0"/>
        <w:adjustRightInd w:val="0"/>
        <w:spacing w:after="0" w:line="240" w:lineRule="auto"/>
        <w:ind w:left="0"/>
        <w:jc w:val="left"/>
        <w:rPr>
          <w:sz w:val="24"/>
          <w:szCs w:val="24"/>
        </w:rPr>
      </w:pPr>
    </w:p>
    <w:tbl>
      <w:tblPr>
        <w:tblStyle w:val="TableGrid"/>
        <w:tblW w:w="9085" w:type="dxa"/>
        <w:tblInd w:w="-185" w:type="dxa"/>
        <w:tblLook w:val="04A0" w:firstRow="1" w:lastRow="0" w:firstColumn="1" w:lastColumn="0" w:noHBand="0" w:noVBand="1"/>
      </w:tblPr>
      <w:tblGrid>
        <w:gridCol w:w="2793"/>
        <w:gridCol w:w="1803"/>
        <w:gridCol w:w="1803"/>
        <w:gridCol w:w="2686"/>
      </w:tblGrid>
      <w:tr w:rsidR="00A25833" w:rsidRPr="00A25833" w:rsidTr="00983E0F">
        <w:tc>
          <w:tcPr>
            <w:tcW w:w="2793" w:type="dxa"/>
          </w:tcPr>
          <w:tbl>
            <w:tblPr>
              <w:tblW w:w="0" w:type="auto"/>
              <w:tblBorders>
                <w:top w:val="nil"/>
                <w:left w:val="nil"/>
                <w:bottom w:val="nil"/>
                <w:right w:val="nil"/>
              </w:tblBorders>
              <w:tblLook w:val="0000" w:firstRow="0" w:lastRow="0" w:firstColumn="0" w:lastColumn="0" w:noHBand="0" w:noVBand="0"/>
            </w:tblPr>
            <w:tblGrid>
              <w:gridCol w:w="2577"/>
            </w:tblGrid>
            <w:tr w:rsidR="00A25833" w:rsidRPr="00A25833">
              <w:trPr>
                <w:trHeight w:val="480"/>
              </w:trPr>
              <w:tc>
                <w:tcPr>
                  <w:tcW w:w="0" w:type="auto"/>
                </w:tcPr>
                <w:p w:rsidR="00983E0F" w:rsidRPr="00A25833" w:rsidRDefault="00983E0F" w:rsidP="00983E0F">
                  <w:pPr>
                    <w:autoSpaceDE w:val="0"/>
                    <w:autoSpaceDN w:val="0"/>
                    <w:adjustRightInd w:val="0"/>
                    <w:spacing w:after="0" w:line="240" w:lineRule="auto"/>
                    <w:ind w:left="0"/>
                    <w:jc w:val="left"/>
                    <w:rPr>
                      <w:rFonts w:eastAsiaTheme="minorHAnsi"/>
                      <w:noProof w:val="0"/>
                      <w:sz w:val="24"/>
                      <w:szCs w:val="24"/>
                    </w:rPr>
                  </w:pPr>
                  <w:r w:rsidRPr="00A25833">
                    <w:rPr>
                      <w:rFonts w:eastAsiaTheme="minorHAnsi"/>
                      <w:noProof w:val="0"/>
                      <w:sz w:val="24"/>
                      <w:szCs w:val="24"/>
                    </w:rPr>
                    <w:t xml:space="preserve">Funcţia publică specifică din cadrul Parlamentului României care se echivalează </w:t>
                  </w:r>
                </w:p>
              </w:tc>
            </w:tr>
          </w:tbl>
          <w:p w:rsidR="00983E0F" w:rsidRPr="00A25833" w:rsidRDefault="00983E0F" w:rsidP="00983E0F">
            <w:pPr>
              <w:autoSpaceDE w:val="0"/>
              <w:autoSpaceDN w:val="0"/>
              <w:adjustRightInd w:val="0"/>
              <w:spacing w:after="0" w:line="240" w:lineRule="auto"/>
              <w:ind w:left="0"/>
              <w:jc w:val="left"/>
              <w:rPr>
                <w:sz w:val="24"/>
                <w:szCs w:val="24"/>
              </w:rPr>
            </w:pPr>
          </w:p>
        </w:tc>
        <w:tc>
          <w:tcPr>
            <w:tcW w:w="1803" w:type="dxa"/>
          </w:tcPr>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Nivelul funcţiei publice </w:t>
            </w:r>
          </w:p>
          <w:p w:rsidR="00983E0F" w:rsidRPr="00A25833" w:rsidRDefault="00983E0F" w:rsidP="00983E0F">
            <w:pPr>
              <w:autoSpaceDE w:val="0"/>
              <w:autoSpaceDN w:val="0"/>
              <w:adjustRightInd w:val="0"/>
              <w:spacing w:after="0" w:line="240" w:lineRule="auto"/>
              <w:ind w:left="0"/>
              <w:jc w:val="left"/>
              <w:rPr>
                <w:sz w:val="24"/>
                <w:szCs w:val="24"/>
              </w:rPr>
            </w:pPr>
          </w:p>
        </w:tc>
        <w:tc>
          <w:tcPr>
            <w:tcW w:w="1803" w:type="dxa"/>
          </w:tcPr>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Nivelul studiilor necesare </w:t>
            </w:r>
          </w:p>
          <w:p w:rsidR="00983E0F" w:rsidRPr="00A25833" w:rsidRDefault="00983E0F" w:rsidP="00983E0F">
            <w:pPr>
              <w:autoSpaceDE w:val="0"/>
              <w:autoSpaceDN w:val="0"/>
              <w:adjustRightInd w:val="0"/>
              <w:spacing w:after="0" w:line="240" w:lineRule="auto"/>
              <w:ind w:left="0"/>
              <w:jc w:val="left"/>
              <w:rPr>
                <w:sz w:val="24"/>
                <w:szCs w:val="24"/>
              </w:rPr>
            </w:pPr>
          </w:p>
        </w:tc>
        <w:tc>
          <w:tcPr>
            <w:tcW w:w="2686" w:type="dxa"/>
          </w:tcPr>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Funcţia publică generală cu care se echivalează funcţia publică specifică </w:t>
            </w:r>
          </w:p>
          <w:p w:rsidR="00983E0F" w:rsidRPr="00A25833" w:rsidRDefault="00983E0F" w:rsidP="00983E0F">
            <w:pPr>
              <w:autoSpaceDE w:val="0"/>
              <w:autoSpaceDN w:val="0"/>
              <w:adjustRightInd w:val="0"/>
              <w:spacing w:after="0" w:line="240" w:lineRule="auto"/>
              <w:ind w:left="0"/>
              <w:jc w:val="left"/>
              <w:rPr>
                <w:sz w:val="24"/>
                <w:szCs w:val="24"/>
              </w:rPr>
            </w:pPr>
          </w:p>
        </w:tc>
      </w:tr>
      <w:tr w:rsidR="00A25833" w:rsidRPr="00A25833" w:rsidTr="00983E0F">
        <w:tc>
          <w:tcPr>
            <w:tcW w:w="2793" w:type="dxa"/>
          </w:tcPr>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Consilier parlamentar/expert parlamentar/consultant parlamentar </w:t>
            </w:r>
          </w:p>
          <w:p w:rsidR="00983E0F" w:rsidRPr="00A25833" w:rsidRDefault="00983E0F" w:rsidP="00983E0F">
            <w:pPr>
              <w:autoSpaceDE w:val="0"/>
              <w:autoSpaceDN w:val="0"/>
              <w:adjustRightInd w:val="0"/>
              <w:spacing w:after="0" w:line="240" w:lineRule="auto"/>
              <w:ind w:left="0"/>
              <w:jc w:val="left"/>
              <w:rPr>
                <w:sz w:val="24"/>
                <w:szCs w:val="24"/>
              </w:rPr>
            </w:pPr>
          </w:p>
        </w:tc>
        <w:tc>
          <w:tcPr>
            <w:tcW w:w="1803" w:type="dxa"/>
          </w:tcPr>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execuţie </w:t>
            </w:r>
          </w:p>
          <w:p w:rsidR="00983E0F" w:rsidRPr="00A25833" w:rsidRDefault="00983E0F" w:rsidP="00983E0F">
            <w:pPr>
              <w:autoSpaceDE w:val="0"/>
              <w:autoSpaceDN w:val="0"/>
              <w:adjustRightInd w:val="0"/>
              <w:spacing w:after="0" w:line="240" w:lineRule="auto"/>
              <w:ind w:left="0"/>
              <w:jc w:val="left"/>
              <w:rPr>
                <w:sz w:val="24"/>
                <w:szCs w:val="24"/>
              </w:rPr>
            </w:pPr>
          </w:p>
        </w:tc>
        <w:tc>
          <w:tcPr>
            <w:tcW w:w="1803" w:type="dxa"/>
          </w:tcPr>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Clasa I, studii universitare de licenţă absolvite cu diplomă de licenţă sau echivalentă </w:t>
            </w:r>
          </w:p>
          <w:p w:rsidR="00983E0F" w:rsidRPr="00A25833" w:rsidRDefault="00983E0F" w:rsidP="00983E0F">
            <w:pPr>
              <w:autoSpaceDE w:val="0"/>
              <w:autoSpaceDN w:val="0"/>
              <w:adjustRightInd w:val="0"/>
              <w:spacing w:after="0" w:line="240" w:lineRule="auto"/>
              <w:ind w:left="0"/>
              <w:jc w:val="left"/>
              <w:rPr>
                <w:sz w:val="24"/>
                <w:szCs w:val="24"/>
              </w:rPr>
            </w:pPr>
          </w:p>
        </w:tc>
        <w:tc>
          <w:tcPr>
            <w:tcW w:w="2686" w:type="dxa"/>
          </w:tcPr>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Cu funcţiile publice de execuţie de clasa I şi clasa a II-a, conform art. 392 alin. (1) şi (2) din Ordonanţa de urgenţă a Guvernului nr. 57/2019 privind Codul administrativ, </w:t>
            </w:r>
          </w:p>
          <w:p w:rsidR="00983E0F" w:rsidRPr="00A25833" w:rsidRDefault="00983E0F" w:rsidP="00983E0F">
            <w:pPr>
              <w:autoSpaceDE w:val="0"/>
              <w:autoSpaceDN w:val="0"/>
              <w:adjustRightInd w:val="0"/>
              <w:spacing w:after="0" w:line="240" w:lineRule="auto"/>
              <w:ind w:left="0"/>
              <w:jc w:val="left"/>
              <w:rPr>
                <w:sz w:val="24"/>
                <w:szCs w:val="24"/>
              </w:rPr>
            </w:pPr>
            <w:r w:rsidRPr="00A25833">
              <w:rPr>
                <w:sz w:val="24"/>
                <w:szCs w:val="24"/>
              </w:rPr>
              <w:t xml:space="preserve">cu modificările și completările ulterioare </w:t>
            </w:r>
          </w:p>
        </w:tc>
      </w:tr>
      <w:tr w:rsidR="00A25833" w:rsidRPr="00A25833" w:rsidTr="00983E0F">
        <w:tc>
          <w:tcPr>
            <w:tcW w:w="2793" w:type="dxa"/>
          </w:tcPr>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Referent </w:t>
            </w:r>
          </w:p>
          <w:p w:rsidR="00983E0F" w:rsidRPr="00A25833" w:rsidRDefault="00983E0F" w:rsidP="00983E0F">
            <w:pPr>
              <w:autoSpaceDE w:val="0"/>
              <w:autoSpaceDN w:val="0"/>
              <w:adjustRightInd w:val="0"/>
              <w:spacing w:after="0" w:line="240" w:lineRule="auto"/>
              <w:ind w:left="0"/>
              <w:jc w:val="left"/>
              <w:rPr>
                <w:sz w:val="24"/>
                <w:szCs w:val="24"/>
              </w:rPr>
            </w:pPr>
          </w:p>
        </w:tc>
        <w:tc>
          <w:tcPr>
            <w:tcW w:w="1803" w:type="dxa"/>
          </w:tcPr>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execuţie </w:t>
            </w:r>
          </w:p>
          <w:p w:rsidR="00983E0F" w:rsidRPr="00A25833" w:rsidRDefault="00983E0F" w:rsidP="00983E0F">
            <w:pPr>
              <w:autoSpaceDE w:val="0"/>
              <w:autoSpaceDN w:val="0"/>
              <w:adjustRightInd w:val="0"/>
              <w:spacing w:after="0" w:line="240" w:lineRule="auto"/>
              <w:ind w:left="0"/>
              <w:jc w:val="left"/>
              <w:rPr>
                <w:sz w:val="24"/>
                <w:szCs w:val="24"/>
              </w:rPr>
            </w:pPr>
          </w:p>
        </w:tc>
        <w:tc>
          <w:tcPr>
            <w:tcW w:w="1803" w:type="dxa"/>
          </w:tcPr>
          <w:p w:rsidR="00983E0F" w:rsidRPr="00A25833" w:rsidRDefault="00983E0F" w:rsidP="00983E0F">
            <w:pPr>
              <w:autoSpaceDE w:val="0"/>
              <w:autoSpaceDN w:val="0"/>
              <w:adjustRightInd w:val="0"/>
              <w:spacing w:after="0" w:line="240" w:lineRule="auto"/>
              <w:ind w:left="0"/>
              <w:jc w:val="left"/>
              <w:rPr>
                <w:sz w:val="24"/>
                <w:szCs w:val="24"/>
              </w:rPr>
            </w:pPr>
          </w:p>
        </w:tc>
        <w:tc>
          <w:tcPr>
            <w:tcW w:w="2686" w:type="dxa"/>
          </w:tcPr>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Cu funcţiile publice de execuţie de clasa </w:t>
            </w:r>
          </w:p>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a II-a şi clasa a III-a, conform art. 392 alin. (2) şi (3) din Ordonanţa de urgenţă </w:t>
            </w:r>
          </w:p>
          <w:p w:rsidR="00983E0F" w:rsidRPr="00A25833" w:rsidRDefault="00983E0F" w:rsidP="00983E0F">
            <w:pPr>
              <w:pStyle w:val="Default"/>
              <w:rPr>
                <w:rFonts w:ascii="Trebuchet MS" w:hAnsi="Trebuchet MS"/>
                <w:color w:val="auto"/>
                <w:lang w:val="ro-RO"/>
              </w:rPr>
            </w:pPr>
            <w:r w:rsidRPr="00A25833">
              <w:rPr>
                <w:rFonts w:ascii="Trebuchet MS" w:hAnsi="Trebuchet MS"/>
                <w:color w:val="auto"/>
                <w:lang w:val="ro-RO"/>
              </w:rPr>
              <w:t xml:space="preserve">a Guvernului nr. 57/2019 privind Codul administrativ, cu modificările </w:t>
            </w:r>
          </w:p>
          <w:p w:rsidR="00983E0F" w:rsidRPr="00A25833" w:rsidRDefault="00983E0F" w:rsidP="00983E0F">
            <w:pPr>
              <w:autoSpaceDE w:val="0"/>
              <w:autoSpaceDN w:val="0"/>
              <w:adjustRightInd w:val="0"/>
              <w:spacing w:after="0" w:line="240" w:lineRule="auto"/>
              <w:ind w:left="0"/>
              <w:jc w:val="left"/>
              <w:rPr>
                <w:sz w:val="24"/>
                <w:szCs w:val="24"/>
              </w:rPr>
            </w:pPr>
            <w:r w:rsidRPr="00A25833">
              <w:rPr>
                <w:sz w:val="24"/>
                <w:szCs w:val="24"/>
              </w:rPr>
              <w:t xml:space="preserve">și completările ulterioare </w:t>
            </w:r>
          </w:p>
        </w:tc>
      </w:tr>
    </w:tbl>
    <w:p w:rsidR="00983E0F" w:rsidRPr="00A25833" w:rsidRDefault="00983E0F" w:rsidP="00983E0F">
      <w:pPr>
        <w:autoSpaceDE w:val="0"/>
        <w:autoSpaceDN w:val="0"/>
        <w:adjustRightInd w:val="0"/>
        <w:spacing w:after="0" w:line="240" w:lineRule="auto"/>
        <w:ind w:left="0"/>
        <w:jc w:val="left"/>
        <w:rPr>
          <w:sz w:val="24"/>
          <w:szCs w:val="24"/>
        </w:rPr>
      </w:pPr>
    </w:p>
    <w:p w:rsidR="00983E0F" w:rsidRPr="00A25833" w:rsidRDefault="00983E0F" w:rsidP="00983E0F">
      <w:pPr>
        <w:autoSpaceDE w:val="0"/>
        <w:autoSpaceDN w:val="0"/>
        <w:adjustRightInd w:val="0"/>
        <w:spacing w:after="0" w:line="240" w:lineRule="auto"/>
        <w:ind w:left="0"/>
        <w:jc w:val="left"/>
        <w:rPr>
          <w:rFonts w:eastAsiaTheme="minorHAnsi"/>
          <w:sz w:val="24"/>
          <w:szCs w:val="24"/>
        </w:rPr>
      </w:pPr>
    </w:p>
    <w:p w:rsidR="00F81AD9" w:rsidRPr="00A25833" w:rsidRDefault="00F81AD9" w:rsidP="0051493C">
      <w:pPr>
        <w:autoSpaceDE w:val="0"/>
        <w:autoSpaceDN w:val="0"/>
        <w:adjustRightInd w:val="0"/>
        <w:spacing w:after="0" w:line="240" w:lineRule="auto"/>
        <w:ind w:left="0"/>
        <w:jc w:val="center"/>
        <w:rPr>
          <w:rFonts w:eastAsiaTheme="minorHAnsi"/>
          <w:sz w:val="24"/>
          <w:szCs w:val="24"/>
        </w:rPr>
      </w:pPr>
    </w:p>
    <w:sectPr w:rsidR="00F81AD9" w:rsidRPr="00A2583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02" w:rsidRDefault="003E2C02">
      <w:pPr>
        <w:spacing w:after="0" w:line="240" w:lineRule="auto"/>
      </w:pPr>
      <w:r>
        <w:separator/>
      </w:r>
    </w:p>
  </w:endnote>
  <w:endnote w:type="continuationSeparator" w:id="0">
    <w:p w:rsidR="003E2C02" w:rsidRDefault="003E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9B" w:rsidRDefault="003E2C02">
    <w:pPr>
      <w:pStyle w:val="Footer"/>
      <w:tabs>
        <w:tab w:val="clear" w:pos="4320"/>
        <w:tab w:val="clear" w:pos="8640"/>
        <w:tab w:val="left" w:pos="5240"/>
      </w:tabs>
      <w:spacing w:after="0" w:line="240" w:lineRule="auto"/>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02" w:rsidRDefault="003E2C02">
      <w:pPr>
        <w:spacing w:after="0" w:line="240" w:lineRule="auto"/>
      </w:pPr>
      <w:r>
        <w:separator/>
      </w:r>
    </w:p>
  </w:footnote>
  <w:footnote w:type="continuationSeparator" w:id="0">
    <w:p w:rsidR="003E2C02" w:rsidRDefault="003E2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1327" w:type="dxa"/>
      <w:tblCellMar>
        <w:left w:w="0" w:type="dxa"/>
        <w:right w:w="0" w:type="dxa"/>
      </w:tblCellMar>
      <w:tblLook w:val="04A0" w:firstRow="1" w:lastRow="0" w:firstColumn="1" w:lastColumn="0" w:noHBand="0" w:noVBand="1"/>
    </w:tblPr>
    <w:tblGrid>
      <w:gridCol w:w="6804"/>
      <w:gridCol w:w="6804"/>
      <w:gridCol w:w="6804"/>
      <w:gridCol w:w="6804"/>
      <w:gridCol w:w="4111"/>
    </w:tblGrid>
    <w:tr w:rsidR="002F179B">
      <w:tc>
        <w:tcPr>
          <w:tcW w:w="6804" w:type="dxa"/>
          <w:shd w:val="clear" w:color="auto" w:fill="auto"/>
        </w:tcPr>
        <w:p w:rsidR="002F179B" w:rsidRDefault="003E2C02">
          <w:pPr>
            <w:pStyle w:val="MediumGrid21"/>
          </w:pPr>
        </w:p>
      </w:tc>
      <w:tc>
        <w:tcPr>
          <w:tcW w:w="6804" w:type="dxa"/>
          <w:shd w:val="clear" w:color="auto" w:fill="auto"/>
          <w:vAlign w:val="center"/>
        </w:tcPr>
        <w:p w:rsidR="002F179B" w:rsidRDefault="003E2C02">
          <w:pPr>
            <w:pStyle w:val="MediumGrid21"/>
            <w:ind w:left="3119" w:right="709" w:firstLine="142"/>
          </w:pPr>
        </w:p>
      </w:tc>
      <w:tc>
        <w:tcPr>
          <w:tcW w:w="6804" w:type="dxa"/>
          <w:shd w:val="clear" w:color="auto" w:fill="auto"/>
        </w:tcPr>
        <w:p w:rsidR="002F179B" w:rsidRDefault="00446EBE">
          <w:pPr>
            <w:pStyle w:val="MediumGrid21"/>
          </w:pPr>
          <w:r>
            <w:t xml:space="preserve">                                                                           </w:t>
          </w:r>
        </w:p>
      </w:tc>
      <w:tc>
        <w:tcPr>
          <w:tcW w:w="6804" w:type="dxa"/>
          <w:shd w:val="clear" w:color="auto" w:fill="auto"/>
        </w:tcPr>
        <w:p w:rsidR="002F179B" w:rsidRDefault="003E2C02">
          <w:pPr>
            <w:pStyle w:val="MediumGrid21"/>
          </w:pPr>
        </w:p>
      </w:tc>
      <w:tc>
        <w:tcPr>
          <w:tcW w:w="4111" w:type="dxa"/>
          <w:shd w:val="clear" w:color="auto" w:fill="auto"/>
          <w:vAlign w:val="center"/>
        </w:tcPr>
        <w:p w:rsidR="002F179B" w:rsidRDefault="003E2C02">
          <w:pPr>
            <w:pStyle w:val="MediumGrid21"/>
            <w:jc w:val="right"/>
          </w:pPr>
        </w:p>
      </w:tc>
    </w:tr>
  </w:tbl>
  <w:p w:rsidR="002F179B" w:rsidRDefault="003E2C02">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F6E44"/>
    <w:multiLevelType w:val="multilevel"/>
    <w:tmpl w:val="F3547D5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F315B3"/>
    <w:multiLevelType w:val="hybridMultilevel"/>
    <w:tmpl w:val="65EA387A"/>
    <w:lvl w:ilvl="0" w:tplc="EFEAADF2">
      <w:start w:val="1"/>
      <w:numFmt w:val="decimal"/>
      <w:lvlText w:val="%1."/>
      <w:lvlJc w:val="left"/>
      <w:pPr>
        <w:ind w:left="360" w:hanging="360"/>
      </w:pPr>
      <w:rPr>
        <w:rFonts w:ascii="Trebuchet MS" w:eastAsia="Calibri" w:hAnsi="Trebuchet MS"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85DF7"/>
    <w:multiLevelType w:val="hybridMultilevel"/>
    <w:tmpl w:val="B0CE4D98"/>
    <w:lvl w:ilvl="0" w:tplc="694AD84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B7548"/>
    <w:multiLevelType w:val="hybridMultilevel"/>
    <w:tmpl w:val="ACF0F4F2"/>
    <w:lvl w:ilvl="0" w:tplc="694AD84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9324E"/>
    <w:multiLevelType w:val="hybridMultilevel"/>
    <w:tmpl w:val="3698D816"/>
    <w:lvl w:ilvl="0" w:tplc="694AD84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874E2"/>
    <w:multiLevelType w:val="hybridMultilevel"/>
    <w:tmpl w:val="126E5456"/>
    <w:lvl w:ilvl="0" w:tplc="694AD84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9A"/>
    <w:rsid w:val="00001114"/>
    <w:rsid w:val="00007748"/>
    <w:rsid w:val="00015C0C"/>
    <w:rsid w:val="00023BB1"/>
    <w:rsid w:val="00043700"/>
    <w:rsid w:val="00054B14"/>
    <w:rsid w:val="000614FF"/>
    <w:rsid w:val="000706F1"/>
    <w:rsid w:val="00082BD2"/>
    <w:rsid w:val="000B1BD5"/>
    <w:rsid w:val="000B467D"/>
    <w:rsid w:val="000C152D"/>
    <w:rsid w:val="000E74D4"/>
    <w:rsid w:val="00111C98"/>
    <w:rsid w:val="00112975"/>
    <w:rsid w:val="001326EF"/>
    <w:rsid w:val="00137EDF"/>
    <w:rsid w:val="00142BB4"/>
    <w:rsid w:val="00190122"/>
    <w:rsid w:val="0019248D"/>
    <w:rsid w:val="001B1B30"/>
    <w:rsid w:val="001D189B"/>
    <w:rsid w:val="001E0912"/>
    <w:rsid w:val="00244615"/>
    <w:rsid w:val="0025350D"/>
    <w:rsid w:val="002609A2"/>
    <w:rsid w:val="0026685D"/>
    <w:rsid w:val="00276DCA"/>
    <w:rsid w:val="002A2718"/>
    <w:rsid w:val="002A55C5"/>
    <w:rsid w:val="002B72E1"/>
    <w:rsid w:val="00327186"/>
    <w:rsid w:val="00333520"/>
    <w:rsid w:val="003A3173"/>
    <w:rsid w:val="003A6F24"/>
    <w:rsid w:val="003E2C02"/>
    <w:rsid w:val="003E7EDC"/>
    <w:rsid w:val="003F52AD"/>
    <w:rsid w:val="003F6A3B"/>
    <w:rsid w:val="0041304B"/>
    <w:rsid w:val="00421F61"/>
    <w:rsid w:val="00446EBE"/>
    <w:rsid w:val="004A61F4"/>
    <w:rsid w:val="004A640C"/>
    <w:rsid w:val="004C2017"/>
    <w:rsid w:val="004D2580"/>
    <w:rsid w:val="004D3E15"/>
    <w:rsid w:val="004D45AB"/>
    <w:rsid w:val="0051493C"/>
    <w:rsid w:val="00521275"/>
    <w:rsid w:val="00523DC1"/>
    <w:rsid w:val="00524B67"/>
    <w:rsid w:val="00525179"/>
    <w:rsid w:val="00535640"/>
    <w:rsid w:val="00540C52"/>
    <w:rsid w:val="00550FAA"/>
    <w:rsid w:val="00555050"/>
    <w:rsid w:val="00570B3C"/>
    <w:rsid w:val="00573A4D"/>
    <w:rsid w:val="00592EB6"/>
    <w:rsid w:val="005958EE"/>
    <w:rsid w:val="005B04BF"/>
    <w:rsid w:val="005F094A"/>
    <w:rsid w:val="00606E8A"/>
    <w:rsid w:val="00630D3A"/>
    <w:rsid w:val="00645DE2"/>
    <w:rsid w:val="0065752B"/>
    <w:rsid w:val="006A6A4B"/>
    <w:rsid w:val="006E062F"/>
    <w:rsid w:val="006E509A"/>
    <w:rsid w:val="00700B65"/>
    <w:rsid w:val="0074101E"/>
    <w:rsid w:val="00741842"/>
    <w:rsid w:val="00754E2D"/>
    <w:rsid w:val="00757EED"/>
    <w:rsid w:val="00762035"/>
    <w:rsid w:val="00765AA5"/>
    <w:rsid w:val="00776FAF"/>
    <w:rsid w:val="0078030A"/>
    <w:rsid w:val="00795576"/>
    <w:rsid w:val="007A1059"/>
    <w:rsid w:val="007B50FD"/>
    <w:rsid w:val="007C203F"/>
    <w:rsid w:val="007C6DF4"/>
    <w:rsid w:val="007E44B1"/>
    <w:rsid w:val="007F3318"/>
    <w:rsid w:val="00800896"/>
    <w:rsid w:val="00815201"/>
    <w:rsid w:val="008546D6"/>
    <w:rsid w:val="00855CF0"/>
    <w:rsid w:val="008617C6"/>
    <w:rsid w:val="00864615"/>
    <w:rsid w:val="0086561A"/>
    <w:rsid w:val="008816B8"/>
    <w:rsid w:val="008839A7"/>
    <w:rsid w:val="00886B25"/>
    <w:rsid w:val="0089735A"/>
    <w:rsid w:val="008B15FC"/>
    <w:rsid w:val="008B52E3"/>
    <w:rsid w:val="008C486A"/>
    <w:rsid w:val="008C7924"/>
    <w:rsid w:val="008D1CAD"/>
    <w:rsid w:val="008F7C6A"/>
    <w:rsid w:val="009119EC"/>
    <w:rsid w:val="00922E45"/>
    <w:rsid w:val="0093774E"/>
    <w:rsid w:val="0096437E"/>
    <w:rsid w:val="00983E0F"/>
    <w:rsid w:val="009B0B14"/>
    <w:rsid w:val="009D11A7"/>
    <w:rsid w:val="00A065FE"/>
    <w:rsid w:val="00A06DBE"/>
    <w:rsid w:val="00A25833"/>
    <w:rsid w:val="00A418FD"/>
    <w:rsid w:val="00A54F5F"/>
    <w:rsid w:val="00A556E8"/>
    <w:rsid w:val="00A84FEC"/>
    <w:rsid w:val="00A915A9"/>
    <w:rsid w:val="00AC414F"/>
    <w:rsid w:val="00AC50BD"/>
    <w:rsid w:val="00AC62A3"/>
    <w:rsid w:val="00AE4E2F"/>
    <w:rsid w:val="00AF4FA1"/>
    <w:rsid w:val="00B311BD"/>
    <w:rsid w:val="00B661A8"/>
    <w:rsid w:val="00B85EF2"/>
    <w:rsid w:val="00BA51B7"/>
    <w:rsid w:val="00BE442C"/>
    <w:rsid w:val="00BE785E"/>
    <w:rsid w:val="00BF5C46"/>
    <w:rsid w:val="00C0290C"/>
    <w:rsid w:val="00C04808"/>
    <w:rsid w:val="00C10E76"/>
    <w:rsid w:val="00C15417"/>
    <w:rsid w:val="00C26836"/>
    <w:rsid w:val="00C3340B"/>
    <w:rsid w:val="00C37238"/>
    <w:rsid w:val="00C60ED9"/>
    <w:rsid w:val="00C64692"/>
    <w:rsid w:val="00C94050"/>
    <w:rsid w:val="00CB1A77"/>
    <w:rsid w:val="00CC271E"/>
    <w:rsid w:val="00CC300C"/>
    <w:rsid w:val="00CC4D9E"/>
    <w:rsid w:val="00CD2FE2"/>
    <w:rsid w:val="00CD7AD4"/>
    <w:rsid w:val="00CE2C5F"/>
    <w:rsid w:val="00CE4DC4"/>
    <w:rsid w:val="00D01E2C"/>
    <w:rsid w:val="00D07483"/>
    <w:rsid w:val="00D1016E"/>
    <w:rsid w:val="00D3040C"/>
    <w:rsid w:val="00D308E2"/>
    <w:rsid w:val="00D32A8B"/>
    <w:rsid w:val="00D41057"/>
    <w:rsid w:val="00D6312B"/>
    <w:rsid w:val="00DA6269"/>
    <w:rsid w:val="00DB1C60"/>
    <w:rsid w:val="00DD3E4A"/>
    <w:rsid w:val="00DE7D50"/>
    <w:rsid w:val="00DF45FE"/>
    <w:rsid w:val="00E0020B"/>
    <w:rsid w:val="00E026AB"/>
    <w:rsid w:val="00E153A9"/>
    <w:rsid w:val="00E35063"/>
    <w:rsid w:val="00E664C4"/>
    <w:rsid w:val="00EA1684"/>
    <w:rsid w:val="00EB477F"/>
    <w:rsid w:val="00EC70C0"/>
    <w:rsid w:val="00EE2E7D"/>
    <w:rsid w:val="00F131EF"/>
    <w:rsid w:val="00F60711"/>
    <w:rsid w:val="00F81AD9"/>
    <w:rsid w:val="00FA468C"/>
    <w:rsid w:val="00FB4BE8"/>
    <w:rsid w:val="00FC261F"/>
    <w:rsid w:val="00FC4558"/>
    <w:rsid w:val="00FD386A"/>
    <w:rsid w:val="00FF470E"/>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BC5DC-DFC5-41B0-A012-44B6313E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9A"/>
    <w:pPr>
      <w:spacing w:after="120" w:line="276" w:lineRule="auto"/>
      <w:ind w:left="1701"/>
      <w:jc w:val="both"/>
    </w:pPr>
    <w:rPr>
      <w:rFonts w:ascii="Trebuchet MS" w:eastAsia="MS Mincho" w:hAnsi="Trebuchet MS"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04808"/>
    <w:pPr>
      <w:ind w:left="720"/>
      <w:contextualSpacing/>
    </w:pPr>
  </w:style>
  <w:style w:type="character" w:customStyle="1" w:styleId="HeaderChar">
    <w:name w:val="Header Char"/>
    <w:link w:val="Header"/>
    <w:uiPriority w:val="99"/>
    <w:qFormat/>
    <w:rsid w:val="00446EBE"/>
    <w:rPr>
      <w:sz w:val="24"/>
      <w:szCs w:val="24"/>
    </w:rPr>
  </w:style>
  <w:style w:type="character" w:customStyle="1" w:styleId="FooterChar">
    <w:name w:val="Footer Char"/>
    <w:link w:val="Footer"/>
    <w:uiPriority w:val="99"/>
    <w:qFormat/>
    <w:rsid w:val="00446EBE"/>
    <w:rPr>
      <w:sz w:val="24"/>
      <w:szCs w:val="24"/>
    </w:rPr>
  </w:style>
  <w:style w:type="character" w:customStyle="1" w:styleId="InternetLink">
    <w:name w:val="Internet Link"/>
    <w:basedOn w:val="DefaultParagraphFont"/>
    <w:uiPriority w:val="99"/>
    <w:unhideWhenUsed/>
    <w:rsid w:val="00446EBE"/>
    <w:rPr>
      <w:color w:val="0563C1" w:themeColor="hyperlink"/>
      <w:u w:val="single"/>
    </w:rPr>
  </w:style>
  <w:style w:type="paragraph" w:styleId="Header">
    <w:name w:val="header"/>
    <w:basedOn w:val="Normal"/>
    <w:link w:val="HeaderChar"/>
    <w:uiPriority w:val="99"/>
    <w:unhideWhenUsed/>
    <w:rsid w:val="00446EBE"/>
    <w:pPr>
      <w:tabs>
        <w:tab w:val="center" w:pos="4320"/>
        <w:tab w:val="right" w:pos="8640"/>
      </w:tabs>
    </w:pPr>
    <w:rPr>
      <w:rFonts w:asciiTheme="minorHAnsi" w:eastAsiaTheme="minorHAnsi" w:hAnsiTheme="minorHAnsi" w:cstheme="minorBidi"/>
      <w:noProof w:val="0"/>
      <w:sz w:val="24"/>
      <w:szCs w:val="24"/>
    </w:rPr>
  </w:style>
  <w:style w:type="character" w:customStyle="1" w:styleId="HeaderChar1">
    <w:name w:val="Header Char1"/>
    <w:basedOn w:val="DefaultParagraphFont"/>
    <w:uiPriority w:val="99"/>
    <w:semiHidden/>
    <w:rsid w:val="00446EBE"/>
    <w:rPr>
      <w:rFonts w:ascii="Trebuchet MS" w:eastAsia="MS Mincho" w:hAnsi="Trebuchet MS" w:cs="Times New Roman"/>
      <w:noProof/>
    </w:rPr>
  </w:style>
  <w:style w:type="paragraph" w:styleId="Footer">
    <w:name w:val="footer"/>
    <w:basedOn w:val="Normal"/>
    <w:link w:val="FooterChar"/>
    <w:uiPriority w:val="99"/>
    <w:unhideWhenUsed/>
    <w:rsid w:val="00446EBE"/>
    <w:pPr>
      <w:tabs>
        <w:tab w:val="center" w:pos="4320"/>
        <w:tab w:val="right" w:pos="8640"/>
      </w:tabs>
    </w:pPr>
    <w:rPr>
      <w:rFonts w:asciiTheme="minorHAnsi" w:eastAsiaTheme="minorHAnsi" w:hAnsiTheme="minorHAnsi" w:cstheme="minorBidi"/>
      <w:noProof w:val="0"/>
      <w:sz w:val="24"/>
      <w:szCs w:val="24"/>
    </w:rPr>
  </w:style>
  <w:style w:type="character" w:customStyle="1" w:styleId="FooterChar1">
    <w:name w:val="Footer Char1"/>
    <w:basedOn w:val="DefaultParagraphFont"/>
    <w:uiPriority w:val="99"/>
    <w:semiHidden/>
    <w:rsid w:val="00446EBE"/>
    <w:rPr>
      <w:rFonts w:ascii="Trebuchet MS" w:eastAsia="MS Mincho" w:hAnsi="Trebuchet MS" w:cs="Times New Roman"/>
      <w:noProof/>
    </w:rPr>
  </w:style>
  <w:style w:type="paragraph" w:customStyle="1" w:styleId="MediumGrid21">
    <w:name w:val="Medium Grid 21"/>
    <w:uiPriority w:val="1"/>
    <w:qFormat/>
    <w:rsid w:val="00446EBE"/>
    <w:pPr>
      <w:spacing w:after="0" w:line="240" w:lineRule="auto"/>
    </w:pPr>
    <w:rPr>
      <w:rFonts w:ascii="Trebuchet MS" w:eastAsia="MS Mincho" w:hAnsi="Trebuchet MS" w:cs="Times New Roman"/>
      <w:sz w:val="18"/>
      <w:szCs w:val="18"/>
      <w:lang w:val="en-US"/>
    </w:rPr>
  </w:style>
  <w:style w:type="character" w:customStyle="1" w:styleId="spar">
    <w:name w:val="s_par"/>
    <w:basedOn w:val="DefaultParagraphFont"/>
    <w:rsid w:val="00A915A9"/>
  </w:style>
  <w:style w:type="character" w:customStyle="1" w:styleId="slit">
    <w:name w:val="s_lit"/>
    <w:basedOn w:val="DefaultParagraphFont"/>
    <w:rsid w:val="00A915A9"/>
  </w:style>
  <w:style w:type="character" w:customStyle="1" w:styleId="slitttl">
    <w:name w:val="s_lit_ttl"/>
    <w:basedOn w:val="DefaultParagraphFont"/>
    <w:rsid w:val="00A915A9"/>
  </w:style>
  <w:style w:type="character" w:customStyle="1" w:styleId="slitbdy">
    <w:name w:val="s_lit_bdy"/>
    <w:basedOn w:val="DefaultParagraphFont"/>
    <w:rsid w:val="00A915A9"/>
  </w:style>
  <w:style w:type="character" w:styleId="Hyperlink">
    <w:name w:val="Hyperlink"/>
    <w:basedOn w:val="DefaultParagraphFont"/>
    <w:uiPriority w:val="99"/>
    <w:semiHidden/>
    <w:unhideWhenUsed/>
    <w:rsid w:val="00A915A9"/>
    <w:rPr>
      <w:color w:val="0000FF"/>
      <w:u w:val="single"/>
    </w:rPr>
  </w:style>
  <w:style w:type="paragraph" w:customStyle="1" w:styleId="Standard">
    <w:name w:val="Standard"/>
    <w:rsid w:val="00765AA5"/>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Default">
    <w:name w:val="Default"/>
    <w:rsid w:val="00765AA5"/>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39"/>
    <w:rsid w:val="009D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E3"/>
    <w:rPr>
      <w:rFonts w:ascii="Segoe UI" w:eastAsia="MS Mincho"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0886">
      <w:bodyDiv w:val="1"/>
      <w:marLeft w:val="0"/>
      <w:marRight w:val="0"/>
      <w:marTop w:val="0"/>
      <w:marBottom w:val="0"/>
      <w:divBdr>
        <w:top w:val="none" w:sz="0" w:space="0" w:color="auto"/>
        <w:left w:val="none" w:sz="0" w:space="0" w:color="auto"/>
        <w:bottom w:val="none" w:sz="0" w:space="0" w:color="auto"/>
        <w:right w:val="none" w:sz="0" w:space="0" w:color="auto"/>
      </w:divBdr>
    </w:div>
    <w:div w:id="17706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1BC2-5288-48BB-B076-0960C13C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Popescu</dc:creator>
  <cp:keywords/>
  <dc:description/>
  <cp:lastModifiedBy>Elena Ispas</cp:lastModifiedBy>
  <cp:revision>3</cp:revision>
  <cp:lastPrinted>2022-08-03T07:53:00Z</cp:lastPrinted>
  <dcterms:created xsi:type="dcterms:W3CDTF">2022-08-05T06:40:00Z</dcterms:created>
  <dcterms:modified xsi:type="dcterms:W3CDTF">2022-08-05T06:53:00Z</dcterms:modified>
</cp:coreProperties>
</file>